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FB0FA" w14:textId="77777777" w:rsidR="00F16285" w:rsidRPr="009D12D8" w:rsidRDefault="00F16285" w:rsidP="00F16285">
      <w:pPr>
        <w:pStyle w:val="NormalWeb"/>
        <w:spacing w:before="360" w:beforeAutospacing="0"/>
        <w:jc w:val="center"/>
        <w:rPr>
          <w:rFonts w:ascii="Arial" w:hAnsi="Arial" w:cs="Arial"/>
          <w:b/>
          <w:bCs/>
          <w:sz w:val="28"/>
          <w:szCs w:val="28"/>
        </w:rPr>
      </w:pPr>
      <w:bookmarkStart w:id="0" w:name="_Hlk198215157"/>
      <w:r w:rsidRPr="009D12D8">
        <w:rPr>
          <w:rFonts w:ascii="Arial" w:hAnsi="Arial" w:cs="Arial"/>
          <w:noProof/>
        </w:rPr>
        <w:drawing>
          <wp:inline distT="0" distB="0" distL="0" distR="0" wp14:anchorId="4B7607CA" wp14:editId="0A159ADD">
            <wp:extent cx="3718453" cy="842838"/>
            <wp:effectExtent l="0" t="0" r="0" b="0"/>
            <wp:docPr id="1578092886" name="Picture 1" descr="GoldHaven Announces Corporate Reorganization - My Framer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092886" name="Picture 1" descr="GoldHaven Announces Corporate Reorganization - My Framer Si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758755" cy="851973"/>
                    </a:xfrm>
                    <a:prstGeom prst="rect">
                      <a:avLst/>
                    </a:prstGeom>
                    <a:noFill/>
                    <a:ln>
                      <a:noFill/>
                    </a:ln>
                  </pic:spPr>
                </pic:pic>
              </a:graphicData>
            </a:graphic>
          </wp:inline>
        </w:drawing>
      </w:r>
    </w:p>
    <w:p w14:paraId="22B932FB" w14:textId="77777777" w:rsidR="00BA4B63" w:rsidRDefault="00BA4B63" w:rsidP="00BA4B63">
      <w:pPr>
        <w:jc w:val="center"/>
        <w:rPr>
          <w:rFonts w:ascii="Arial" w:eastAsia="Times New Roman" w:hAnsi="Arial" w:cs="Arial"/>
          <w:b/>
          <w:bCs/>
          <w:sz w:val="28"/>
          <w:szCs w:val="28"/>
          <w:lang w:val="en"/>
        </w:rPr>
      </w:pPr>
      <w:r w:rsidRPr="00BA4B63">
        <w:rPr>
          <w:rFonts w:ascii="Arial" w:eastAsia="Times New Roman" w:hAnsi="Arial" w:cs="Arial"/>
          <w:b/>
          <w:bCs/>
          <w:sz w:val="28"/>
          <w:szCs w:val="28"/>
          <w:lang w:val="en"/>
        </w:rPr>
        <w:t>GoldHaven Closes Upsized C$5.75 Million LIFE Financing</w:t>
      </w:r>
    </w:p>
    <w:p w14:paraId="01805436" w14:textId="5C50CC44" w:rsidR="00BA4B63" w:rsidRPr="00BA4B63" w:rsidRDefault="00BA4B63" w:rsidP="00BA4B63">
      <w:pPr>
        <w:jc w:val="center"/>
        <w:rPr>
          <w:rFonts w:ascii="Arial" w:eastAsia="Times New Roman" w:hAnsi="Arial" w:cs="Arial"/>
          <w:b/>
          <w:bCs/>
          <w:sz w:val="28"/>
          <w:szCs w:val="28"/>
          <w:lang w:val="en"/>
        </w:rPr>
      </w:pPr>
      <w:r w:rsidRPr="00BA4B63">
        <w:rPr>
          <w:rFonts w:ascii="Arial" w:eastAsia="Times New Roman" w:hAnsi="Arial" w:cs="Arial"/>
          <w:b/>
          <w:bCs/>
          <w:sz w:val="28"/>
          <w:szCs w:val="28"/>
          <w:lang w:val="en"/>
        </w:rPr>
        <w:t xml:space="preserve"> to Advance Magno and Copeçal Projects</w:t>
      </w:r>
    </w:p>
    <w:p w14:paraId="654FF528" w14:textId="0456EF04" w:rsidR="00F16285" w:rsidRPr="009D12D8" w:rsidRDefault="00F16285" w:rsidP="00F16285">
      <w:pPr>
        <w:spacing w:before="100" w:beforeAutospacing="1" w:after="100" w:afterAutospacing="1"/>
        <w:jc w:val="both"/>
        <w:rPr>
          <w:rFonts w:ascii="Arial" w:hAnsi="Arial" w:cs="Arial"/>
          <w:sz w:val="22"/>
          <w:szCs w:val="22"/>
        </w:rPr>
      </w:pPr>
      <w:r w:rsidRPr="009D12D8">
        <w:rPr>
          <w:rFonts w:ascii="Arial" w:eastAsia="Times New Roman" w:hAnsi="Arial" w:cs="Arial"/>
          <w:b/>
          <w:bCs/>
          <w:sz w:val="22"/>
          <w:szCs w:val="22"/>
          <w:lang w:val="en-CA"/>
        </w:rPr>
        <w:t xml:space="preserve">VANCOUVER, British Columbia, June 9, 2026, </w:t>
      </w:r>
      <w:r w:rsidRPr="009D12D8">
        <w:rPr>
          <w:rFonts w:ascii="Arial" w:eastAsia="Times New Roman" w:hAnsi="Arial" w:cs="Arial"/>
          <w:bCs/>
          <w:sz w:val="22"/>
          <w:szCs w:val="22"/>
          <w:lang w:val="en-CA"/>
        </w:rPr>
        <w:t>GoldHaven Resources Corp. (the “</w:t>
      </w:r>
      <w:r w:rsidRPr="009D12D8">
        <w:rPr>
          <w:rFonts w:ascii="Arial" w:eastAsia="Times New Roman" w:hAnsi="Arial" w:cs="Arial"/>
          <w:b/>
          <w:bCs/>
          <w:sz w:val="22"/>
          <w:szCs w:val="22"/>
          <w:lang w:val="en-CA"/>
        </w:rPr>
        <w:t>Company</w:t>
      </w:r>
      <w:r w:rsidRPr="009D12D8">
        <w:rPr>
          <w:rFonts w:ascii="Arial" w:eastAsia="Times New Roman" w:hAnsi="Arial" w:cs="Arial"/>
          <w:bCs/>
          <w:sz w:val="22"/>
          <w:szCs w:val="22"/>
          <w:lang w:val="en-CA"/>
        </w:rPr>
        <w:t xml:space="preserve">”) </w:t>
      </w:r>
      <w:r w:rsidRPr="009D12D8">
        <w:rPr>
          <w:rFonts w:ascii="Arial" w:hAnsi="Arial" w:cs="Arial"/>
          <w:sz w:val="22"/>
          <w:szCs w:val="22"/>
          <w:lang w:val="en-CA"/>
        </w:rPr>
        <w:t xml:space="preserve">(CSE: GOH) (OTCQB: GHVNF) (FSE: 4QS) </w:t>
      </w:r>
      <w:r w:rsidRPr="009D12D8">
        <w:rPr>
          <w:rFonts w:ascii="Arial" w:hAnsi="Arial" w:cs="Arial"/>
          <w:sz w:val="22"/>
          <w:szCs w:val="22"/>
        </w:rPr>
        <w:t xml:space="preserve">is pleased to announce that, further to its previous news releases </w:t>
      </w:r>
      <w:r w:rsidRPr="0010502E">
        <w:rPr>
          <w:rFonts w:ascii="Arial" w:hAnsi="Arial" w:cs="Arial"/>
          <w:sz w:val="22"/>
          <w:szCs w:val="22"/>
        </w:rPr>
        <w:t xml:space="preserve">dated April </w:t>
      </w:r>
      <w:r w:rsidR="0010502E" w:rsidRPr="00023903">
        <w:rPr>
          <w:rFonts w:ascii="Arial" w:hAnsi="Arial" w:cs="Arial"/>
          <w:sz w:val="22"/>
          <w:szCs w:val="22"/>
        </w:rPr>
        <w:t>30</w:t>
      </w:r>
      <w:r w:rsidRPr="0010502E">
        <w:rPr>
          <w:rFonts w:ascii="Arial" w:hAnsi="Arial" w:cs="Arial"/>
          <w:sz w:val="22"/>
          <w:szCs w:val="22"/>
        </w:rPr>
        <w:t>, 2026</w:t>
      </w:r>
      <w:r w:rsidR="00CA6FFC">
        <w:rPr>
          <w:rFonts w:ascii="Arial" w:hAnsi="Arial" w:cs="Arial"/>
          <w:sz w:val="22"/>
          <w:szCs w:val="22"/>
        </w:rPr>
        <w:t>,</w:t>
      </w:r>
      <w:r w:rsidR="00604A9A">
        <w:rPr>
          <w:rFonts w:ascii="Arial" w:hAnsi="Arial" w:cs="Arial"/>
          <w:sz w:val="22"/>
          <w:szCs w:val="22"/>
        </w:rPr>
        <w:t xml:space="preserve"> </w:t>
      </w:r>
      <w:r w:rsidRPr="009D12D8">
        <w:rPr>
          <w:rFonts w:ascii="Arial" w:hAnsi="Arial" w:cs="Arial"/>
          <w:sz w:val="22"/>
          <w:szCs w:val="22"/>
        </w:rPr>
        <w:t>June 4, 2026</w:t>
      </w:r>
      <w:r w:rsidR="00CA6FFC">
        <w:rPr>
          <w:rFonts w:ascii="Arial" w:hAnsi="Arial" w:cs="Arial"/>
          <w:sz w:val="22"/>
          <w:szCs w:val="22"/>
        </w:rPr>
        <w:t>,</w:t>
      </w:r>
      <w:r w:rsidRPr="009D12D8">
        <w:rPr>
          <w:rFonts w:ascii="Arial" w:hAnsi="Arial" w:cs="Arial"/>
          <w:sz w:val="22"/>
          <w:szCs w:val="22"/>
        </w:rPr>
        <w:t xml:space="preserve"> </w:t>
      </w:r>
      <w:r w:rsidR="00604A9A">
        <w:rPr>
          <w:rFonts w:ascii="Arial" w:hAnsi="Arial" w:cs="Arial"/>
          <w:sz w:val="22"/>
          <w:szCs w:val="22"/>
        </w:rPr>
        <w:t xml:space="preserve">and June 8, 2026, </w:t>
      </w:r>
      <w:r w:rsidRPr="009D12D8">
        <w:rPr>
          <w:rFonts w:ascii="Arial" w:hAnsi="Arial" w:cs="Arial"/>
          <w:sz w:val="22"/>
          <w:szCs w:val="22"/>
        </w:rPr>
        <w:t xml:space="preserve">it </w:t>
      </w:r>
      <w:r w:rsidR="00023903">
        <w:rPr>
          <w:rFonts w:ascii="Arial" w:hAnsi="Arial" w:cs="Arial"/>
          <w:sz w:val="22"/>
          <w:szCs w:val="22"/>
        </w:rPr>
        <w:t xml:space="preserve">has </w:t>
      </w:r>
      <w:r w:rsidRPr="009D12D8">
        <w:rPr>
          <w:rFonts w:ascii="Arial" w:hAnsi="Arial" w:cs="Arial"/>
          <w:sz w:val="22"/>
          <w:szCs w:val="22"/>
        </w:rPr>
        <w:t>completed a non-brokered private placement for gross proceeds of C</w:t>
      </w:r>
      <w:r w:rsidRPr="006C5B70">
        <w:rPr>
          <w:rFonts w:ascii="Arial" w:hAnsi="Arial" w:cs="Arial"/>
          <w:sz w:val="22"/>
          <w:szCs w:val="22"/>
        </w:rPr>
        <w:t>$</w:t>
      </w:r>
      <w:r w:rsidRPr="00676DD4">
        <w:rPr>
          <w:rFonts w:ascii="Arial" w:hAnsi="Arial" w:cs="Arial"/>
          <w:sz w:val="22"/>
          <w:szCs w:val="22"/>
        </w:rPr>
        <w:t>5,750,000</w:t>
      </w:r>
      <w:r w:rsidRPr="006C5B70">
        <w:rPr>
          <w:rFonts w:ascii="Arial" w:hAnsi="Arial" w:cs="Arial"/>
          <w:sz w:val="22"/>
          <w:szCs w:val="22"/>
        </w:rPr>
        <w:t xml:space="preserve"> from the sale of </w:t>
      </w:r>
      <w:r w:rsidRPr="00676DD4">
        <w:rPr>
          <w:rFonts w:ascii="Arial" w:hAnsi="Arial" w:cs="Arial"/>
          <w:sz w:val="22"/>
          <w:szCs w:val="22"/>
        </w:rPr>
        <w:t>23,000,000</w:t>
      </w:r>
      <w:r w:rsidR="006C5B70" w:rsidRPr="006C5B70">
        <w:rPr>
          <w:rFonts w:ascii="Arial" w:hAnsi="Arial" w:cs="Arial"/>
          <w:sz w:val="22"/>
          <w:szCs w:val="22"/>
        </w:rPr>
        <w:t xml:space="preserve"> </w:t>
      </w:r>
      <w:r w:rsidRPr="006C5B70">
        <w:rPr>
          <w:rFonts w:ascii="Arial" w:hAnsi="Arial" w:cs="Arial"/>
          <w:sz w:val="22"/>
          <w:szCs w:val="22"/>
        </w:rPr>
        <w:t>units</w:t>
      </w:r>
      <w:r w:rsidRPr="009D12D8">
        <w:rPr>
          <w:rFonts w:ascii="Arial" w:hAnsi="Arial" w:cs="Arial"/>
          <w:sz w:val="22"/>
          <w:szCs w:val="22"/>
        </w:rPr>
        <w:t xml:space="preserve"> of the Company (each, a “</w:t>
      </w:r>
      <w:r w:rsidRPr="009D12D8">
        <w:rPr>
          <w:rFonts w:ascii="Arial" w:hAnsi="Arial" w:cs="Arial"/>
          <w:b/>
          <w:bCs/>
          <w:sz w:val="22"/>
          <w:szCs w:val="22"/>
        </w:rPr>
        <w:t>Unit</w:t>
      </w:r>
      <w:r w:rsidRPr="009D12D8">
        <w:rPr>
          <w:rFonts w:ascii="Arial" w:hAnsi="Arial" w:cs="Arial"/>
          <w:sz w:val="22"/>
          <w:szCs w:val="22"/>
        </w:rPr>
        <w:t>”, and collectively, the “</w:t>
      </w:r>
      <w:r w:rsidRPr="009D12D8">
        <w:rPr>
          <w:rFonts w:ascii="Arial" w:hAnsi="Arial" w:cs="Arial"/>
          <w:b/>
          <w:bCs/>
          <w:sz w:val="22"/>
          <w:szCs w:val="22"/>
        </w:rPr>
        <w:t>Units</w:t>
      </w:r>
      <w:r w:rsidRPr="009D12D8">
        <w:rPr>
          <w:rFonts w:ascii="Arial" w:hAnsi="Arial" w:cs="Arial"/>
          <w:sz w:val="22"/>
          <w:szCs w:val="22"/>
        </w:rPr>
        <w:t>”) at a price of C$0.25 per Unit (the “</w:t>
      </w:r>
      <w:r w:rsidRPr="009D12D8">
        <w:rPr>
          <w:rFonts w:ascii="Arial" w:hAnsi="Arial" w:cs="Arial"/>
          <w:b/>
          <w:bCs/>
          <w:sz w:val="22"/>
          <w:szCs w:val="22"/>
        </w:rPr>
        <w:t>LIFE Offering</w:t>
      </w:r>
      <w:r w:rsidRPr="009D12D8">
        <w:rPr>
          <w:rFonts w:ascii="Arial" w:hAnsi="Arial" w:cs="Arial"/>
          <w:sz w:val="22"/>
          <w:szCs w:val="22"/>
        </w:rPr>
        <w:t xml:space="preserve">”) under the </w:t>
      </w:r>
      <w:r w:rsidR="0030361C">
        <w:rPr>
          <w:rFonts w:ascii="Arial" w:hAnsi="Arial" w:cs="Arial"/>
          <w:sz w:val="22"/>
          <w:szCs w:val="22"/>
        </w:rPr>
        <w:t>LIFE</w:t>
      </w:r>
      <w:r w:rsidRPr="009D12D8">
        <w:rPr>
          <w:rFonts w:ascii="Arial" w:hAnsi="Arial" w:cs="Arial"/>
          <w:sz w:val="22"/>
          <w:szCs w:val="22"/>
        </w:rPr>
        <w:t xml:space="preserve"> Exemption (as defined herein).</w:t>
      </w:r>
    </w:p>
    <w:p w14:paraId="477CF71E" w14:textId="3C4308EF" w:rsidR="00F16285" w:rsidRPr="009D12D8" w:rsidRDefault="00F16285" w:rsidP="00F16285">
      <w:pPr>
        <w:spacing w:before="100" w:beforeAutospacing="1" w:after="100" w:afterAutospacing="1"/>
        <w:jc w:val="both"/>
        <w:rPr>
          <w:rFonts w:ascii="Arial" w:hAnsi="Arial" w:cs="Arial"/>
          <w:sz w:val="22"/>
          <w:szCs w:val="22"/>
        </w:rPr>
      </w:pPr>
      <w:r w:rsidRPr="009D12D8">
        <w:rPr>
          <w:rFonts w:ascii="Arial" w:hAnsi="Arial" w:cs="Arial"/>
          <w:sz w:val="22"/>
          <w:szCs w:val="22"/>
        </w:rPr>
        <w:t>Each Unit consists of one common share (each, a “</w:t>
      </w:r>
      <w:r w:rsidRPr="009D12D8">
        <w:rPr>
          <w:rFonts w:ascii="Arial" w:hAnsi="Arial" w:cs="Arial"/>
          <w:b/>
          <w:bCs/>
          <w:sz w:val="22"/>
          <w:szCs w:val="22"/>
        </w:rPr>
        <w:t>Unit</w:t>
      </w:r>
      <w:r w:rsidRPr="009D12D8">
        <w:rPr>
          <w:rFonts w:ascii="Arial" w:hAnsi="Arial" w:cs="Arial"/>
          <w:sz w:val="22"/>
          <w:szCs w:val="22"/>
        </w:rPr>
        <w:t xml:space="preserve"> </w:t>
      </w:r>
      <w:r w:rsidRPr="009D12D8">
        <w:rPr>
          <w:rFonts w:ascii="Arial" w:hAnsi="Arial" w:cs="Arial"/>
          <w:b/>
          <w:bCs/>
          <w:sz w:val="22"/>
          <w:szCs w:val="22"/>
        </w:rPr>
        <w:t>Share</w:t>
      </w:r>
      <w:r w:rsidRPr="009D12D8">
        <w:rPr>
          <w:rFonts w:ascii="Arial" w:hAnsi="Arial" w:cs="Arial"/>
          <w:sz w:val="22"/>
          <w:szCs w:val="22"/>
        </w:rPr>
        <w:t>” and collectively, the “</w:t>
      </w:r>
      <w:r w:rsidRPr="009D12D8">
        <w:rPr>
          <w:rFonts w:ascii="Arial" w:hAnsi="Arial" w:cs="Arial"/>
          <w:b/>
          <w:bCs/>
          <w:sz w:val="22"/>
          <w:szCs w:val="22"/>
        </w:rPr>
        <w:t>Unit Shares</w:t>
      </w:r>
      <w:r w:rsidRPr="009D12D8">
        <w:rPr>
          <w:rFonts w:ascii="Arial" w:hAnsi="Arial" w:cs="Arial"/>
          <w:sz w:val="22"/>
          <w:szCs w:val="22"/>
        </w:rPr>
        <w:t xml:space="preserve">”) and </w:t>
      </w:r>
      <w:r w:rsidR="00604A9A" w:rsidRPr="00604A9A">
        <w:rPr>
          <w:rFonts w:ascii="Arial" w:hAnsi="Arial" w:cs="Arial"/>
          <w:sz w:val="22"/>
          <w:szCs w:val="22"/>
        </w:rPr>
        <w:t xml:space="preserve">one-half of one </w:t>
      </w:r>
      <w:r w:rsidRPr="009D12D8">
        <w:rPr>
          <w:rFonts w:ascii="Arial" w:hAnsi="Arial" w:cs="Arial"/>
          <w:sz w:val="22"/>
          <w:szCs w:val="22"/>
        </w:rPr>
        <w:t>common share purchase warrant (each</w:t>
      </w:r>
      <w:r w:rsidR="00CA6FFC">
        <w:rPr>
          <w:rFonts w:ascii="Arial" w:hAnsi="Arial" w:cs="Arial"/>
          <w:sz w:val="22"/>
          <w:szCs w:val="22"/>
        </w:rPr>
        <w:t xml:space="preserve"> whole warrant,</w:t>
      </w:r>
      <w:r w:rsidRPr="009D12D8">
        <w:rPr>
          <w:rFonts w:ascii="Arial" w:hAnsi="Arial" w:cs="Arial"/>
          <w:sz w:val="22"/>
          <w:szCs w:val="22"/>
        </w:rPr>
        <w:t xml:space="preserve"> a “</w:t>
      </w:r>
      <w:r w:rsidRPr="009D12D8">
        <w:rPr>
          <w:rFonts w:ascii="Arial" w:hAnsi="Arial" w:cs="Arial"/>
          <w:b/>
          <w:bCs/>
          <w:sz w:val="22"/>
          <w:szCs w:val="22"/>
        </w:rPr>
        <w:t>Warrant</w:t>
      </w:r>
      <w:r w:rsidRPr="009D12D8">
        <w:rPr>
          <w:rFonts w:ascii="Arial" w:hAnsi="Arial" w:cs="Arial"/>
          <w:sz w:val="22"/>
          <w:szCs w:val="22"/>
        </w:rPr>
        <w:t>” and collectively, the “</w:t>
      </w:r>
      <w:r w:rsidRPr="009D12D8">
        <w:rPr>
          <w:rFonts w:ascii="Arial" w:hAnsi="Arial" w:cs="Arial"/>
          <w:b/>
          <w:bCs/>
          <w:sz w:val="22"/>
          <w:szCs w:val="22"/>
        </w:rPr>
        <w:t>Warrants</w:t>
      </w:r>
      <w:r w:rsidRPr="009D12D8">
        <w:rPr>
          <w:rFonts w:ascii="Arial" w:hAnsi="Arial" w:cs="Arial"/>
          <w:sz w:val="22"/>
          <w:szCs w:val="22"/>
        </w:rPr>
        <w:t>”). Each Warrant is exercisable to acquire one common share (each a “</w:t>
      </w:r>
      <w:r w:rsidRPr="009D12D8">
        <w:rPr>
          <w:rFonts w:ascii="Arial" w:hAnsi="Arial" w:cs="Arial"/>
          <w:b/>
          <w:bCs/>
          <w:sz w:val="22"/>
          <w:szCs w:val="22"/>
        </w:rPr>
        <w:t>Warrant Share</w:t>
      </w:r>
      <w:r w:rsidRPr="009D12D8">
        <w:rPr>
          <w:rFonts w:ascii="Arial" w:hAnsi="Arial" w:cs="Arial"/>
          <w:sz w:val="22"/>
          <w:szCs w:val="22"/>
        </w:rPr>
        <w:t>”, and collectively, the “</w:t>
      </w:r>
      <w:r w:rsidRPr="009D12D8">
        <w:rPr>
          <w:rFonts w:ascii="Arial" w:hAnsi="Arial" w:cs="Arial"/>
          <w:b/>
          <w:bCs/>
          <w:sz w:val="22"/>
          <w:szCs w:val="22"/>
        </w:rPr>
        <w:t>Warrant Shares</w:t>
      </w:r>
      <w:r w:rsidRPr="009D12D8">
        <w:rPr>
          <w:rFonts w:ascii="Arial" w:hAnsi="Arial" w:cs="Arial"/>
          <w:sz w:val="22"/>
          <w:szCs w:val="22"/>
        </w:rPr>
        <w:t>”) at a price of $0.35 per Warrant Share commencing on the 62</w:t>
      </w:r>
      <w:r w:rsidRPr="009D12D8">
        <w:rPr>
          <w:rFonts w:ascii="Arial" w:hAnsi="Arial" w:cs="Arial"/>
          <w:sz w:val="22"/>
          <w:szCs w:val="22"/>
          <w:vertAlign w:val="superscript"/>
        </w:rPr>
        <w:t>nd</w:t>
      </w:r>
      <w:r w:rsidRPr="009D12D8">
        <w:rPr>
          <w:rFonts w:ascii="Arial" w:hAnsi="Arial" w:cs="Arial"/>
          <w:sz w:val="22"/>
          <w:szCs w:val="22"/>
        </w:rPr>
        <w:t xml:space="preserve"> day after the date </w:t>
      </w:r>
      <w:r w:rsidRPr="00E13C74">
        <w:rPr>
          <w:rFonts w:ascii="Arial" w:hAnsi="Arial" w:cs="Arial"/>
          <w:sz w:val="22"/>
          <w:szCs w:val="22"/>
        </w:rPr>
        <w:t xml:space="preserve">of issuance </w:t>
      </w:r>
      <w:r w:rsidR="00CA6FFC">
        <w:rPr>
          <w:rFonts w:ascii="Arial" w:hAnsi="Arial" w:cs="Arial"/>
          <w:sz w:val="22"/>
          <w:szCs w:val="22"/>
        </w:rPr>
        <w:t>until the date that is</w:t>
      </w:r>
      <w:r w:rsidRPr="00E13C74">
        <w:rPr>
          <w:rFonts w:ascii="Arial" w:hAnsi="Arial" w:cs="Arial"/>
          <w:sz w:val="22"/>
          <w:szCs w:val="22"/>
        </w:rPr>
        <w:t xml:space="preserve"> twenty-four (24) months </w:t>
      </w:r>
      <w:r w:rsidR="00CA6FFC">
        <w:rPr>
          <w:rFonts w:ascii="Arial" w:hAnsi="Arial" w:cs="Arial"/>
          <w:sz w:val="22"/>
          <w:szCs w:val="22"/>
        </w:rPr>
        <w:t xml:space="preserve">from the date </w:t>
      </w:r>
      <w:r w:rsidR="008939CE">
        <w:rPr>
          <w:rFonts w:ascii="Arial" w:hAnsi="Arial" w:cs="Arial"/>
          <w:sz w:val="22"/>
          <w:szCs w:val="22"/>
        </w:rPr>
        <w:t>of issuance</w:t>
      </w:r>
      <w:r w:rsidRPr="00E13C74">
        <w:rPr>
          <w:rFonts w:ascii="Arial" w:hAnsi="Arial" w:cs="Arial"/>
          <w:sz w:val="22"/>
          <w:szCs w:val="22"/>
        </w:rPr>
        <w:t>. The Warrants will not be listed for trading on any stock exchange.</w:t>
      </w:r>
    </w:p>
    <w:p w14:paraId="2DF7E523" w14:textId="77777777" w:rsidR="00BA4B63" w:rsidRPr="00BA4B63" w:rsidRDefault="00BA4B63" w:rsidP="00BA4B63">
      <w:pPr>
        <w:pBdr>
          <w:top w:val="nil"/>
          <w:left w:val="nil"/>
          <w:bottom w:val="nil"/>
          <w:right w:val="nil"/>
          <w:between w:val="nil"/>
        </w:pBdr>
        <w:jc w:val="both"/>
        <w:rPr>
          <w:rFonts w:ascii="Arial" w:eastAsia="Times New Roman" w:hAnsi="Arial" w:cs="Arial"/>
          <w:color w:val="1A1A1A"/>
          <w:sz w:val="22"/>
          <w:szCs w:val="22"/>
          <w:lang w:val="en" w:eastAsia="en-CA"/>
        </w:rPr>
      </w:pPr>
      <w:r w:rsidRPr="00BA4B63">
        <w:rPr>
          <w:rFonts w:ascii="Arial" w:eastAsia="Times New Roman" w:hAnsi="Arial" w:cs="Arial"/>
          <w:color w:val="1A1A1A"/>
          <w:sz w:val="22"/>
          <w:szCs w:val="22"/>
          <w:lang w:val="en" w:eastAsia="en-CA"/>
        </w:rPr>
        <w:t>Rob Birmingham, Chief Executive Officer of GoldHaven, commented: "We are pleased to complete this upsized financing and thank our shareholders for their continued support and confidence in the Company. The successful completion of the LIFE Offering positions GoldHaven to advance our planned 2026 exploration initiatives and further strengthens the Company's balance sheet."</w:t>
      </w:r>
    </w:p>
    <w:p w14:paraId="20210FD8" w14:textId="62E7F96F" w:rsidR="00F16285" w:rsidRPr="009D12D8" w:rsidRDefault="00F16285" w:rsidP="00F16285">
      <w:pPr>
        <w:spacing w:before="100" w:beforeAutospacing="1" w:after="100" w:afterAutospacing="1"/>
        <w:jc w:val="both"/>
        <w:rPr>
          <w:rFonts w:ascii="Arial" w:eastAsia="Times New Roman" w:hAnsi="Arial" w:cs="Arial"/>
          <w:sz w:val="22"/>
          <w:szCs w:val="22"/>
        </w:rPr>
      </w:pPr>
      <w:r w:rsidRPr="009D12D8">
        <w:rPr>
          <w:rFonts w:ascii="Arial" w:eastAsia="Times New Roman" w:hAnsi="Arial" w:cs="Arial"/>
          <w:sz w:val="22"/>
          <w:szCs w:val="22"/>
        </w:rPr>
        <w:t xml:space="preserve">Subject to compliance with applicable regulatory requirements and in accordance with National Instrument 45-106 – </w:t>
      </w:r>
      <w:r w:rsidRPr="009D12D8">
        <w:rPr>
          <w:rFonts w:ascii="Arial" w:eastAsia="Times New Roman" w:hAnsi="Arial" w:cs="Arial"/>
          <w:i/>
          <w:iCs/>
          <w:sz w:val="22"/>
          <w:szCs w:val="22"/>
        </w:rPr>
        <w:t>Prospectus Exemptions</w:t>
      </w:r>
      <w:r w:rsidRPr="009D12D8">
        <w:rPr>
          <w:rFonts w:ascii="Arial" w:eastAsia="Times New Roman" w:hAnsi="Arial" w:cs="Arial"/>
          <w:sz w:val="22"/>
          <w:szCs w:val="22"/>
        </w:rPr>
        <w:t xml:space="preserve"> (“</w:t>
      </w:r>
      <w:r w:rsidRPr="009D12D8">
        <w:rPr>
          <w:rFonts w:ascii="Arial" w:eastAsia="Times New Roman" w:hAnsi="Arial" w:cs="Arial"/>
          <w:b/>
          <w:bCs/>
          <w:sz w:val="22"/>
          <w:szCs w:val="22"/>
        </w:rPr>
        <w:t>NI 45-106</w:t>
      </w:r>
      <w:r w:rsidRPr="009D12D8">
        <w:rPr>
          <w:rFonts w:ascii="Arial" w:eastAsia="Times New Roman" w:hAnsi="Arial" w:cs="Arial"/>
          <w:sz w:val="22"/>
          <w:szCs w:val="22"/>
        </w:rPr>
        <w:t xml:space="preserve">”), as amended by Coordinated Blanket Order 45-935 – </w:t>
      </w:r>
      <w:r w:rsidRPr="009D12D8">
        <w:rPr>
          <w:rFonts w:ascii="Arial" w:eastAsia="Times New Roman" w:hAnsi="Arial" w:cs="Arial"/>
          <w:i/>
          <w:iCs/>
          <w:sz w:val="22"/>
          <w:szCs w:val="22"/>
        </w:rPr>
        <w:t>Exemptions from Certain Conditions of the Listed Issuer Financing Exemption</w:t>
      </w:r>
      <w:r w:rsidRPr="009D12D8">
        <w:rPr>
          <w:rFonts w:ascii="Arial" w:eastAsia="Times New Roman" w:hAnsi="Arial" w:cs="Arial"/>
          <w:sz w:val="22"/>
          <w:szCs w:val="22"/>
        </w:rPr>
        <w:t xml:space="preserve">, </w:t>
      </w:r>
      <w:r w:rsidRPr="008939CE">
        <w:rPr>
          <w:rFonts w:ascii="Arial" w:eastAsia="Times New Roman" w:hAnsi="Arial" w:cs="Arial"/>
          <w:sz w:val="22"/>
          <w:szCs w:val="22"/>
        </w:rPr>
        <w:t>the LIFE Offering was made to purchasers resident in all provinces of Canada, except Quebec, pursuant to the listed issuer financing exemption under Part 5A of NI 45-106 (the “</w:t>
      </w:r>
      <w:r w:rsidR="0030361C" w:rsidRPr="008939CE">
        <w:rPr>
          <w:rFonts w:ascii="Arial" w:eastAsia="Times New Roman" w:hAnsi="Arial" w:cs="Arial"/>
          <w:b/>
          <w:bCs/>
          <w:sz w:val="22"/>
          <w:szCs w:val="22"/>
        </w:rPr>
        <w:t>LIFE</w:t>
      </w:r>
      <w:r w:rsidRPr="008939CE">
        <w:rPr>
          <w:rFonts w:ascii="Arial" w:eastAsia="Times New Roman" w:hAnsi="Arial" w:cs="Arial"/>
          <w:b/>
          <w:bCs/>
          <w:sz w:val="22"/>
          <w:szCs w:val="22"/>
        </w:rPr>
        <w:t xml:space="preserve"> Exemption</w:t>
      </w:r>
      <w:r w:rsidRPr="008939CE">
        <w:rPr>
          <w:rFonts w:ascii="Arial" w:eastAsia="Times New Roman" w:hAnsi="Arial" w:cs="Arial"/>
          <w:sz w:val="22"/>
          <w:szCs w:val="22"/>
        </w:rPr>
        <w:t xml:space="preserve">”). The securities offered under the LIFE Offering pursuant to the </w:t>
      </w:r>
      <w:r w:rsidR="0030361C" w:rsidRPr="008939CE">
        <w:rPr>
          <w:rFonts w:ascii="Arial" w:eastAsia="Times New Roman" w:hAnsi="Arial" w:cs="Arial"/>
          <w:sz w:val="22"/>
          <w:szCs w:val="22"/>
        </w:rPr>
        <w:t>LIFE</w:t>
      </w:r>
      <w:r w:rsidRPr="008939CE">
        <w:rPr>
          <w:rFonts w:ascii="Arial" w:eastAsia="Times New Roman" w:hAnsi="Arial" w:cs="Arial"/>
          <w:sz w:val="22"/>
          <w:szCs w:val="22"/>
        </w:rPr>
        <w:t xml:space="preserve"> Exemption are not subject to resale restrictions in accordance with applicable Canadian securities laws.</w:t>
      </w:r>
      <w:r w:rsidRPr="009D12D8">
        <w:rPr>
          <w:rFonts w:ascii="Arial" w:eastAsia="Times New Roman" w:hAnsi="Arial" w:cs="Arial"/>
          <w:sz w:val="22"/>
          <w:szCs w:val="22"/>
        </w:rPr>
        <w:t xml:space="preserve"> </w:t>
      </w:r>
    </w:p>
    <w:p w14:paraId="2F69920F" w14:textId="64AF9ECF" w:rsidR="00F16285" w:rsidRPr="009D12D8" w:rsidRDefault="00F16285" w:rsidP="00F16285">
      <w:pPr>
        <w:spacing w:before="100" w:beforeAutospacing="1" w:after="100" w:afterAutospacing="1"/>
        <w:jc w:val="both"/>
        <w:rPr>
          <w:rFonts w:ascii="Arial" w:hAnsi="Arial" w:cs="Arial"/>
          <w:b/>
          <w:bCs/>
          <w:sz w:val="22"/>
          <w:szCs w:val="22"/>
        </w:rPr>
      </w:pPr>
      <w:r w:rsidRPr="009D12D8">
        <w:rPr>
          <w:rFonts w:ascii="Arial" w:hAnsi="Arial" w:cs="Arial"/>
          <w:b/>
          <w:bCs/>
          <w:sz w:val="22"/>
          <w:szCs w:val="22"/>
        </w:rPr>
        <w:t>There is an amended and restated offering document</w:t>
      </w:r>
      <w:r w:rsidRPr="009D12D8">
        <w:rPr>
          <w:rFonts w:ascii="Arial" w:eastAsia="Times New Roman" w:hAnsi="Arial" w:cs="Arial"/>
          <w:b/>
          <w:bCs/>
          <w:sz w:val="22"/>
          <w:szCs w:val="22"/>
        </w:rPr>
        <w:t xml:space="preserve"> dated June </w:t>
      </w:r>
      <w:r w:rsidR="00604A9A">
        <w:rPr>
          <w:rFonts w:ascii="Arial" w:eastAsia="Times New Roman" w:hAnsi="Arial" w:cs="Arial"/>
          <w:b/>
          <w:bCs/>
          <w:sz w:val="22"/>
          <w:szCs w:val="22"/>
        </w:rPr>
        <w:t>8</w:t>
      </w:r>
      <w:r w:rsidRPr="009D12D8">
        <w:rPr>
          <w:rFonts w:ascii="Arial" w:eastAsia="Times New Roman" w:hAnsi="Arial" w:cs="Arial"/>
          <w:b/>
          <w:bCs/>
          <w:sz w:val="22"/>
          <w:szCs w:val="22"/>
        </w:rPr>
        <w:t>, 2026</w:t>
      </w:r>
      <w:r w:rsidRPr="009D12D8">
        <w:rPr>
          <w:rFonts w:ascii="Arial" w:eastAsia="Times New Roman" w:hAnsi="Arial" w:cs="Arial"/>
          <w:sz w:val="22"/>
          <w:szCs w:val="22"/>
        </w:rPr>
        <w:t xml:space="preserve"> </w:t>
      </w:r>
      <w:r w:rsidRPr="009D12D8">
        <w:rPr>
          <w:rFonts w:ascii="Arial" w:hAnsi="Arial" w:cs="Arial"/>
          <w:b/>
          <w:bCs/>
          <w:sz w:val="22"/>
          <w:szCs w:val="22"/>
        </w:rPr>
        <w:t xml:space="preserve">(the “Offering Document”) related to the LIFE Offering that can be accessed under the Company’s </w:t>
      </w:r>
      <w:r w:rsidR="000D6F71">
        <w:rPr>
          <w:rFonts w:ascii="Arial" w:hAnsi="Arial" w:cs="Arial"/>
          <w:b/>
          <w:bCs/>
          <w:sz w:val="22"/>
          <w:szCs w:val="22"/>
        </w:rPr>
        <w:t xml:space="preserve">issuer </w:t>
      </w:r>
      <w:r w:rsidRPr="009D12D8">
        <w:rPr>
          <w:rFonts w:ascii="Arial" w:hAnsi="Arial" w:cs="Arial"/>
          <w:b/>
          <w:bCs/>
          <w:sz w:val="22"/>
          <w:szCs w:val="22"/>
        </w:rPr>
        <w:t xml:space="preserve">profile </w:t>
      </w:r>
      <w:r w:rsidR="00337BEC">
        <w:rPr>
          <w:rFonts w:ascii="Arial" w:hAnsi="Arial" w:cs="Arial"/>
          <w:b/>
          <w:bCs/>
          <w:sz w:val="22"/>
          <w:szCs w:val="22"/>
        </w:rPr>
        <w:t xml:space="preserve">on SEDAR+ </w:t>
      </w:r>
      <w:r w:rsidRPr="009D12D8">
        <w:rPr>
          <w:rFonts w:ascii="Arial" w:hAnsi="Arial" w:cs="Arial"/>
          <w:b/>
          <w:bCs/>
          <w:sz w:val="22"/>
          <w:szCs w:val="22"/>
        </w:rPr>
        <w:t>at www.sedarplus.ca and on the Company’s website</w:t>
      </w:r>
      <w:r w:rsidRPr="009D12D8">
        <w:rPr>
          <w:rFonts w:ascii="Arial" w:eastAsia="Times New Roman" w:hAnsi="Arial" w:cs="Arial"/>
          <w:b/>
          <w:bCs/>
          <w:sz w:val="22"/>
          <w:szCs w:val="22"/>
        </w:rPr>
        <w:t xml:space="preserve"> at: www.goldhavenresources.com.</w:t>
      </w:r>
    </w:p>
    <w:p w14:paraId="001512F5" w14:textId="3F3361BF" w:rsidR="00F16285" w:rsidRDefault="00F16285" w:rsidP="00F16285">
      <w:pPr>
        <w:spacing w:before="100" w:beforeAutospacing="1" w:after="100" w:afterAutospacing="1"/>
        <w:jc w:val="both"/>
        <w:rPr>
          <w:rFonts w:ascii="Arial" w:hAnsi="Arial" w:cs="Arial"/>
          <w:sz w:val="22"/>
          <w:szCs w:val="22"/>
        </w:rPr>
      </w:pPr>
      <w:r w:rsidRPr="001F406E">
        <w:rPr>
          <w:rFonts w:ascii="Arial" w:hAnsi="Arial" w:cs="Arial"/>
          <w:sz w:val="22"/>
          <w:szCs w:val="22"/>
        </w:rPr>
        <w:t xml:space="preserve">The Company intends to use the net proceeds from the </w:t>
      </w:r>
      <w:r>
        <w:rPr>
          <w:rFonts w:ascii="Arial" w:hAnsi="Arial" w:cs="Arial"/>
          <w:sz w:val="22"/>
          <w:szCs w:val="22"/>
        </w:rPr>
        <w:t xml:space="preserve">LIFE </w:t>
      </w:r>
      <w:r w:rsidRPr="001F406E">
        <w:rPr>
          <w:rFonts w:ascii="Arial" w:hAnsi="Arial" w:cs="Arial"/>
          <w:sz w:val="22"/>
          <w:szCs w:val="22"/>
        </w:rPr>
        <w:t>Offering for the advancement of its Magno Project in British Columbia, including permitting, geophysics, drill targeting, and continued and expanded diamond drilling</w:t>
      </w:r>
      <w:r>
        <w:rPr>
          <w:rFonts w:ascii="Arial" w:hAnsi="Arial" w:cs="Arial"/>
          <w:sz w:val="22"/>
          <w:szCs w:val="22"/>
        </w:rPr>
        <w:t xml:space="preserve">; </w:t>
      </w:r>
      <w:r w:rsidRPr="001F406E">
        <w:rPr>
          <w:rFonts w:ascii="Arial" w:hAnsi="Arial" w:cs="Arial"/>
          <w:sz w:val="22"/>
          <w:szCs w:val="22"/>
        </w:rPr>
        <w:t>for continued diamond drilling, follow-up drilling, and target advancement at the Copeçal Gold Project in Mato Grosso, Brazil</w:t>
      </w:r>
      <w:r>
        <w:rPr>
          <w:rFonts w:ascii="Arial" w:hAnsi="Arial" w:cs="Arial"/>
          <w:sz w:val="22"/>
          <w:szCs w:val="22"/>
        </w:rPr>
        <w:t>;</w:t>
      </w:r>
      <w:r w:rsidRPr="001F406E">
        <w:rPr>
          <w:rFonts w:ascii="Arial" w:hAnsi="Arial" w:cs="Arial"/>
          <w:sz w:val="22"/>
          <w:szCs w:val="22"/>
        </w:rPr>
        <w:t xml:space="preserve"> and for general working capital purposes</w:t>
      </w:r>
      <w:r w:rsidR="00CA6FFC">
        <w:rPr>
          <w:rFonts w:ascii="Arial" w:hAnsi="Arial" w:cs="Arial"/>
          <w:sz w:val="22"/>
          <w:szCs w:val="22"/>
        </w:rPr>
        <w:t>, a</w:t>
      </w:r>
      <w:r w:rsidR="008939CE">
        <w:rPr>
          <w:rFonts w:ascii="Arial" w:hAnsi="Arial" w:cs="Arial"/>
          <w:sz w:val="22"/>
          <w:szCs w:val="22"/>
        </w:rPr>
        <w:t>ll a</w:t>
      </w:r>
      <w:r w:rsidR="00CA6FFC">
        <w:rPr>
          <w:rFonts w:ascii="Arial" w:hAnsi="Arial" w:cs="Arial"/>
          <w:sz w:val="22"/>
          <w:szCs w:val="22"/>
        </w:rPr>
        <w:t>s more particularly set out in the Offering Document</w:t>
      </w:r>
      <w:r w:rsidRPr="001F406E">
        <w:rPr>
          <w:rFonts w:ascii="Arial" w:hAnsi="Arial" w:cs="Arial"/>
          <w:sz w:val="22"/>
          <w:szCs w:val="22"/>
        </w:rPr>
        <w:t>.</w:t>
      </w:r>
    </w:p>
    <w:p w14:paraId="5FBAB7D0" w14:textId="74C19D26" w:rsidR="00F16285" w:rsidRPr="009D12D8" w:rsidRDefault="00F16285" w:rsidP="00F16285">
      <w:pPr>
        <w:spacing w:before="100" w:beforeAutospacing="1" w:after="100" w:afterAutospacing="1"/>
        <w:jc w:val="both"/>
        <w:rPr>
          <w:rFonts w:ascii="Arial" w:hAnsi="Arial" w:cs="Arial"/>
          <w:sz w:val="22"/>
          <w:szCs w:val="22"/>
        </w:rPr>
      </w:pPr>
      <w:r w:rsidRPr="009D12D8">
        <w:rPr>
          <w:rFonts w:ascii="Arial" w:hAnsi="Arial" w:cs="Arial"/>
          <w:sz w:val="22"/>
          <w:szCs w:val="22"/>
        </w:rPr>
        <w:lastRenderedPageBreak/>
        <w:t xml:space="preserve">Pursuant to </w:t>
      </w:r>
      <w:r w:rsidR="00BB3EFD">
        <w:rPr>
          <w:rFonts w:ascii="Arial" w:hAnsi="Arial" w:cs="Arial"/>
          <w:sz w:val="22"/>
          <w:szCs w:val="22"/>
        </w:rPr>
        <w:t>a</w:t>
      </w:r>
      <w:r w:rsidRPr="009D12D8">
        <w:rPr>
          <w:rFonts w:ascii="Arial" w:hAnsi="Arial" w:cs="Arial"/>
          <w:sz w:val="22"/>
          <w:szCs w:val="22"/>
        </w:rPr>
        <w:t xml:space="preserve"> finder’s fee agreement dated </w:t>
      </w:r>
      <w:r w:rsidR="00501D31">
        <w:rPr>
          <w:rFonts w:ascii="Arial" w:hAnsi="Arial" w:cs="Arial"/>
          <w:sz w:val="22"/>
          <w:szCs w:val="22"/>
        </w:rPr>
        <w:t>April 23</w:t>
      </w:r>
      <w:r w:rsidRPr="009D12D8">
        <w:rPr>
          <w:rFonts w:ascii="Arial" w:hAnsi="Arial" w:cs="Arial"/>
          <w:sz w:val="22"/>
          <w:szCs w:val="22"/>
        </w:rPr>
        <w:t>, 2026 (the “</w:t>
      </w:r>
      <w:r w:rsidRPr="009D12D8">
        <w:rPr>
          <w:rFonts w:ascii="Arial" w:hAnsi="Arial" w:cs="Arial"/>
          <w:b/>
          <w:bCs/>
          <w:sz w:val="22"/>
          <w:szCs w:val="22"/>
        </w:rPr>
        <w:t>Finder’s Agreement</w:t>
      </w:r>
      <w:r w:rsidRPr="009D12D8">
        <w:rPr>
          <w:rFonts w:ascii="Arial" w:hAnsi="Arial" w:cs="Arial"/>
          <w:sz w:val="22"/>
          <w:szCs w:val="22"/>
        </w:rPr>
        <w:t>”) entered into between the Company and Research Capital Corporation (the “</w:t>
      </w:r>
      <w:r w:rsidRPr="009D12D8">
        <w:rPr>
          <w:rFonts w:ascii="Arial" w:hAnsi="Arial" w:cs="Arial"/>
          <w:b/>
          <w:bCs/>
          <w:sz w:val="22"/>
          <w:szCs w:val="22"/>
        </w:rPr>
        <w:t>Finder</w:t>
      </w:r>
      <w:r w:rsidRPr="009D12D8">
        <w:rPr>
          <w:rFonts w:ascii="Arial" w:hAnsi="Arial" w:cs="Arial"/>
          <w:sz w:val="22"/>
          <w:szCs w:val="22"/>
        </w:rPr>
        <w:t xml:space="preserve">”) in respect of the LIFE Offering, the Company paid </w:t>
      </w:r>
      <w:r w:rsidR="00CF7E98">
        <w:rPr>
          <w:rFonts w:ascii="Arial" w:hAnsi="Arial" w:cs="Arial"/>
          <w:sz w:val="22"/>
          <w:szCs w:val="22"/>
        </w:rPr>
        <w:t>finder’s fees</w:t>
      </w:r>
      <w:r w:rsidRPr="009D12D8">
        <w:rPr>
          <w:rFonts w:ascii="Arial" w:hAnsi="Arial" w:cs="Arial"/>
          <w:sz w:val="22"/>
          <w:szCs w:val="22"/>
        </w:rPr>
        <w:t xml:space="preserve"> to the Finder </w:t>
      </w:r>
      <w:r w:rsidR="00BB3EFD">
        <w:rPr>
          <w:rFonts w:ascii="Arial" w:hAnsi="Arial" w:cs="Arial"/>
          <w:sz w:val="22"/>
          <w:szCs w:val="22"/>
        </w:rPr>
        <w:t xml:space="preserve">and certain sub-finders </w:t>
      </w:r>
      <w:r w:rsidRPr="009D12D8">
        <w:rPr>
          <w:rFonts w:ascii="Arial" w:hAnsi="Arial" w:cs="Arial"/>
          <w:sz w:val="22"/>
          <w:szCs w:val="22"/>
        </w:rPr>
        <w:t>consisting of: (i) a</w:t>
      </w:r>
      <w:r w:rsidR="00242913">
        <w:rPr>
          <w:rFonts w:ascii="Arial" w:hAnsi="Arial" w:cs="Arial"/>
          <w:sz w:val="22"/>
          <w:szCs w:val="22"/>
        </w:rPr>
        <w:t>ggregate</w:t>
      </w:r>
      <w:r w:rsidRPr="009D12D8">
        <w:rPr>
          <w:rFonts w:ascii="Arial" w:hAnsi="Arial" w:cs="Arial"/>
          <w:sz w:val="22"/>
          <w:szCs w:val="22"/>
        </w:rPr>
        <w:t xml:space="preserve"> cash </w:t>
      </w:r>
      <w:r w:rsidRPr="00502243">
        <w:rPr>
          <w:rFonts w:ascii="Arial" w:hAnsi="Arial" w:cs="Arial"/>
          <w:sz w:val="22"/>
          <w:szCs w:val="22"/>
        </w:rPr>
        <w:t>payment</w:t>
      </w:r>
      <w:r w:rsidR="00242913" w:rsidRPr="00502243">
        <w:rPr>
          <w:rFonts w:ascii="Arial" w:hAnsi="Arial" w:cs="Arial"/>
          <w:sz w:val="22"/>
          <w:szCs w:val="22"/>
        </w:rPr>
        <w:t>s</w:t>
      </w:r>
      <w:r w:rsidRPr="00502243">
        <w:rPr>
          <w:rFonts w:ascii="Arial" w:hAnsi="Arial" w:cs="Arial"/>
          <w:sz w:val="22"/>
          <w:szCs w:val="22"/>
        </w:rPr>
        <w:t xml:space="preserve"> of </w:t>
      </w:r>
      <w:r w:rsidR="00502243">
        <w:rPr>
          <w:rFonts w:ascii="Arial" w:hAnsi="Arial" w:cs="Arial"/>
          <w:sz w:val="22"/>
          <w:szCs w:val="22"/>
        </w:rPr>
        <w:t>C</w:t>
      </w:r>
      <w:r w:rsidRPr="00502243">
        <w:rPr>
          <w:rFonts w:ascii="Arial" w:hAnsi="Arial" w:cs="Arial"/>
          <w:sz w:val="22"/>
          <w:szCs w:val="22"/>
        </w:rPr>
        <w:t>$</w:t>
      </w:r>
      <w:r w:rsidR="00242913" w:rsidRPr="00676DD4">
        <w:rPr>
          <w:rFonts w:ascii="Arial" w:hAnsi="Arial" w:cs="Arial"/>
          <w:bCs/>
          <w:sz w:val="22"/>
          <w:szCs w:val="22"/>
        </w:rPr>
        <w:t>191,065</w:t>
      </w:r>
      <w:r w:rsidRPr="009D12D8">
        <w:rPr>
          <w:rFonts w:ascii="Arial" w:hAnsi="Arial" w:cs="Arial"/>
          <w:sz w:val="22"/>
          <w:szCs w:val="22"/>
        </w:rPr>
        <w:t xml:space="preserve">; and (ii) </w:t>
      </w:r>
      <w:r w:rsidR="00502243">
        <w:rPr>
          <w:rFonts w:ascii="Arial" w:hAnsi="Arial" w:cs="Arial"/>
          <w:sz w:val="22"/>
          <w:szCs w:val="22"/>
        </w:rPr>
        <w:t xml:space="preserve">the issuance of </w:t>
      </w:r>
      <w:r w:rsidR="00CF7E98">
        <w:rPr>
          <w:rFonts w:ascii="Arial" w:hAnsi="Arial" w:cs="Arial"/>
          <w:sz w:val="22"/>
          <w:szCs w:val="22"/>
        </w:rPr>
        <w:t xml:space="preserve">an aggregate of </w:t>
      </w:r>
      <w:r w:rsidR="006F5C38">
        <w:rPr>
          <w:rFonts w:ascii="Arial" w:hAnsi="Arial" w:cs="Arial"/>
          <w:bCs/>
          <w:sz w:val="22"/>
          <w:szCs w:val="22"/>
        </w:rPr>
        <w:t>902</w:t>
      </w:r>
      <w:r w:rsidR="00BB3EFD" w:rsidRPr="00BB3EFD">
        <w:rPr>
          <w:rFonts w:ascii="Arial" w:hAnsi="Arial" w:cs="Arial"/>
          <w:bCs/>
          <w:sz w:val="22"/>
          <w:szCs w:val="22"/>
        </w:rPr>
        <w:t xml:space="preserve">,160 </w:t>
      </w:r>
      <w:r w:rsidRPr="009D12D8">
        <w:rPr>
          <w:rFonts w:ascii="Arial" w:hAnsi="Arial" w:cs="Arial"/>
          <w:sz w:val="22"/>
          <w:szCs w:val="22"/>
        </w:rPr>
        <w:t>finder’s warrants (the “</w:t>
      </w:r>
      <w:r w:rsidRPr="009D12D8">
        <w:rPr>
          <w:rFonts w:ascii="Arial" w:hAnsi="Arial" w:cs="Arial"/>
          <w:b/>
          <w:bCs/>
          <w:sz w:val="22"/>
          <w:szCs w:val="22"/>
        </w:rPr>
        <w:t>Finder’s Warrants</w:t>
      </w:r>
      <w:r w:rsidRPr="009D12D8">
        <w:rPr>
          <w:rFonts w:ascii="Arial" w:hAnsi="Arial" w:cs="Arial"/>
          <w:sz w:val="22"/>
          <w:szCs w:val="22"/>
        </w:rPr>
        <w:t>”). Each Finder’s Warrant is exercisable to purchase one additional common share (the “</w:t>
      </w:r>
      <w:r w:rsidRPr="009D12D8">
        <w:rPr>
          <w:rFonts w:ascii="Arial" w:hAnsi="Arial" w:cs="Arial"/>
          <w:b/>
          <w:bCs/>
          <w:sz w:val="22"/>
          <w:szCs w:val="22"/>
        </w:rPr>
        <w:t>Finder’s Warrant Shares</w:t>
      </w:r>
      <w:r w:rsidRPr="009D12D8">
        <w:rPr>
          <w:rFonts w:ascii="Arial" w:hAnsi="Arial" w:cs="Arial"/>
          <w:sz w:val="22"/>
          <w:szCs w:val="22"/>
        </w:rPr>
        <w:t xml:space="preserve">”) at </w:t>
      </w:r>
      <w:r w:rsidR="00502243">
        <w:rPr>
          <w:rFonts w:ascii="Arial" w:hAnsi="Arial" w:cs="Arial"/>
          <w:sz w:val="22"/>
          <w:szCs w:val="22"/>
        </w:rPr>
        <w:t>C</w:t>
      </w:r>
      <w:r w:rsidRPr="009D12D8">
        <w:rPr>
          <w:rFonts w:ascii="Arial" w:hAnsi="Arial" w:cs="Arial"/>
          <w:sz w:val="22"/>
          <w:szCs w:val="22"/>
        </w:rPr>
        <w:t>$</w:t>
      </w:r>
      <w:r>
        <w:rPr>
          <w:rFonts w:ascii="Arial" w:hAnsi="Arial" w:cs="Arial"/>
          <w:sz w:val="22"/>
          <w:szCs w:val="22"/>
        </w:rPr>
        <w:t>0.25</w:t>
      </w:r>
      <w:r w:rsidRPr="009D12D8">
        <w:rPr>
          <w:rFonts w:ascii="Arial" w:hAnsi="Arial" w:cs="Arial"/>
          <w:sz w:val="22"/>
          <w:szCs w:val="22"/>
        </w:rPr>
        <w:t xml:space="preserve"> per Finder’s Warrant Share for a period of </w:t>
      </w:r>
      <w:r>
        <w:rPr>
          <w:rFonts w:ascii="Arial" w:hAnsi="Arial" w:cs="Arial"/>
          <w:sz w:val="22"/>
          <w:szCs w:val="22"/>
        </w:rPr>
        <w:t>thirty-six (36)</w:t>
      </w:r>
      <w:r w:rsidRPr="009D12D8">
        <w:rPr>
          <w:rFonts w:ascii="Arial" w:hAnsi="Arial" w:cs="Arial"/>
          <w:sz w:val="22"/>
          <w:szCs w:val="22"/>
        </w:rPr>
        <w:t xml:space="preserve"> months from the </w:t>
      </w:r>
      <w:r w:rsidR="008939CE">
        <w:rPr>
          <w:rFonts w:ascii="Arial" w:hAnsi="Arial" w:cs="Arial"/>
          <w:sz w:val="22"/>
          <w:szCs w:val="22"/>
        </w:rPr>
        <w:t>date of issuance</w:t>
      </w:r>
      <w:r w:rsidRPr="009D12D8">
        <w:rPr>
          <w:rFonts w:ascii="Arial" w:hAnsi="Arial" w:cs="Arial"/>
          <w:sz w:val="22"/>
          <w:szCs w:val="22"/>
        </w:rPr>
        <w:t>, in accordance with and subject to the terms of the warrant certificate representing the Finder’s Warrants and the policies of the Canadian Securities Exchange.</w:t>
      </w:r>
      <w:r w:rsidR="00CA6FFC">
        <w:rPr>
          <w:rFonts w:ascii="Arial" w:hAnsi="Arial" w:cs="Arial"/>
          <w:sz w:val="22"/>
          <w:szCs w:val="22"/>
        </w:rPr>
        <w:t xml:space="preserve"> The Finder’s Warrants will be subject to a statutory hold period of four months and one day from the </w:t>
      </w:r>
      <w:r w:rsidR="008939CE">
        <w:rPr>
          <w:rFonts w:ascii="Arial" w:hAnsi="Arial" w:cs="Arial"/>
          <w:sz w:val="22"/>
          <w:szCs w:val="22"/>
        </w:rPr>
        <w:t>date of issuance</w:t>
      </w:r>
      <w:r w:rsidR="00CA6FFC">
        <w:rPr>
          <w:rFonts w:ascii="Arial" w:hAnsi="Arial" w:cs="Arial"/>
          <w:sz w:val="22"/>
          <w:szCs w:val="22"/>
        </w:rPr>
        <w:t>.</w:t>
      </w:r>
      <w:r w:rsidR="006C5B70">
        <w:rPr>
          <w:rFonts w:ascii="Arial" w:hAnsi="Arial" w:cs="Arial"/>
          <w:sz w:val="22"/>
          <w:szCs w:val="22"/>
        </w:rPr>
        <w:t xml:space="preserve"> Pursuant to a financial advisory services agreement between the Company and the Finder dated April 23, 2026, the Company also paid to the </w:t>
      </w:r>
      <w:r w:rsidR="00CF7E98">
        <w:rPr>
          <w:rFonts w:ascii="Arial" w:hAnsi="Arial" w:cs="Arial"/>
          <w:sz w:val="22"/>
          <w:szCs w:val="22"/>
        </w:rPr>
        <w:t>F</w:t>
      </w:r>
      <w:r w:rsidR="006C5B70">
        <w:rPr>
          <w:rFonts w:ascii="Arial" w:hAnsi="Arial" w:cs="Arial"/>
          <w:sz w:val="22"/>
          <w:szCs w:val="22"/>
        </w:rPr>
        <w:t xml:space="preserve">inder a cash advisory fee of </w:t>
      </w:r>
      <w:r w:rsidR="00502243">
        <w:rPr>
          <w:rFonts w:ascii="Arial" w:hAnsi="Arial" w:cs="Arial"/>
          <w:sz w:val="22"/>
          <w:szCs w:val="22"/>
        </w:rPr>
        <w:t>C</w:t>
      </w:r>
      <w:r w:rsidR="006C5B70">
        <w:rPr>
          <w:rFonts w:ascii="Arial" w:hAnsi="Arial" w:cs="Arial"/>
          <w:sz w:val="22"/>
          <w:szCs w:val="22"/>
        </w:rPr>
        <w:t xml:space="preserve">$25,000 and issued 100,000 common shares in connection with the </w:t>
      </w:r>
      <w:r w:rsidR="00CF7E98">
        <w:rPr>
          <w:rFonts w:ascii="Arial" w:hAnsi="Arial" w:cs="Arial"/>
          <w:sz w:val="22"/>
          <w:szCs w:val="22"/>
        </w:rPr>
        <w:t xml:space="preserve">closing of the </w:t>
      </w:r>
      <w:r w:rsidR="006C5B70">
        <w:rPr>
          <w:rFonts w:ascii="Arial" w:hAnsi="Arial" w:cs="Arial"/>
          <w:sz w:val="22"/>
          <w:szCs w:val="22"/>
        </w:rPr>
        <w:t>LIFE Offering.</w:t>
      </w:r>
    </w:p>
    <w:p w14:paraId="192A7D7B" w14:textId="77777777" w:rsidR="00F16285" w:rsidRPr="009D12D8" w:rsidRDefault="00F16285" w:rsidP="00F16285">
      <w:pPr>
        <w:spacing w:before="100" w:beforeAutospacing="1" w:after="100" w:afterAutospacing="1"/>
        <w:jc w:val="both"/>
        <w:rPr>
          <w:rFonts w:ascii="Arial" w:eastAsia="Times New Roman" w:hAnsi="Arial" w:cs="Arial"/>
          <w:sz w:val="22"/>
          <w:szCs w:val="22"/>
        </w:rPr>
      </w:pPr>
      <w:r w:rsidRPr="009D12D8">
        <w:rPr>
          <w:rFonts w:ascii="Arial" w:eastAsia="Times New Roman" w:hAnsi="Arial" w:cs="Arial"/>
          <w:sz w:val="22"/>
          <w:szCs w:val="22"/>
        </w:rPr>
        <w:t>This news release does not constitute an offer to sell or a solicitation of an offer to sell any securities in the United States. The securities have not been and will not be registered under the United States Securities Act of 1933, as amended (the “</w:t>
      </w:r>
      <w:r w:rsidRPr="009D12D8">
        <w:rPr>
          <w:rFonts w:ascii="Arial" w:eastAsia="Times New Roman" w:hAnsi="Arial" w:cs="Arial"/>
          <w:b/>
          <w:bCs/>
          <w:sz w:val="22"/>
          <w:szCs w:val="22"/>
        </w:rPr>
        <w:t>U.S. Securities Act</w:t>
      </w:r>
      <w:r w:rsidRPr="009D12D8">
        <w:rPr>
          <w:rFonts w:ascii="Arial" w:eastAsia="Times New Roman" w:hAnsi="Arial" w:cs="Arial"/>
          <w:sz w:val="22"/>
          <w:szCs w:val="22"/>
        </w:rPr>
        <w:t>”) or any state securities laws and may not be offered or sold within the United States or to U.S. Persons unless registered under the U.S. Securities Act and applicable state securities laws or an exemption from such registration is available.</w:t>
      </w:r>
    </w:p>
    <w:p w14:paraId="0E1CA623" w14:textId="77777777" w:rsidR="00F16285" w:rsidRPr="009D12D8" w:rsidRDefault="00F16285" w:rsidP="00F16285">
      <w:pPr>
        <w:rPr>
          <w:rFonts w:ascii="Arial" w:hAnsi="Arial" w:cs="Arial"/>
          <w:b/>
          <w:bCs/>
          <w:sz w:val="22"/>
          <w:szCs w:val="22"/>
        </w:rPr>
      </w:pPr>
      <w:r w:rsidRPr="009D12D8">
        <w:rPr>
          <w:rFonts w:ascii="Arial" w:hAnsi="Arial" w:cs="Arial"/>
          <w:b/>
          <w:bCs/>
          <w:sz w:val="22"/>
          <w:szCs w:val="22"/>
        </w:rPr>
        <w:t xml:space="preserve">About GoldHaven Resources Corp. </w:t>
      </w:r>
      <w:r w:rsidRPr="00B3674F">
        <w:rPr>
          <w:rFonts w:ascii="Arial" w:hAnsi="Arial" w:cs="Arial"/>
          <w:b/>
          <w:bCs/>
          <w:sz w:val="22"/>
          <w:szCs w:val="22"/>
        </w:rPr>
        <w:t>(CSE: GOH) (OTCQB: GHVNF) (FSE: 4QS)</w:t>
      </w:r>
    </w:p>
    <w:p w14:paraId="7C1E4701" w14:textId="77777777" w:rsidR="00F16285" w:rsidRPr="00B3674F" w:rsidRDefault="00F16285" w:rsidP="00F16285">
      <w:pPr>
        <w:jc w:val="both"/>
        <w:rPr>
          <w:rFonts w:ascii="Arial" w:hAnsi="Arial" w:cs="Arial"/>
          <w:sz w:val="22"/>
          <w:szCs w:val="22"/>
        </w:rPr>
      </w:pPr>
    </w:p>
    <w:p w14:paraId="3096FDB5" w14:textId="77777777" w:rsidR="00F16285" w:rsidRDefault="00F16285" w:rsidP="00F16285">
      <w:pPr>
        <w:jc w:val="both"/>
        <w:rPr>
          <w:rFonts w:ascii="Arial" w:hAnsi="Arial" w:cs="Arial"/>
          <w:sz w:val="22"/>
          <w:szCs w:val="22"/>
        </w:rPr>
      </w:pPr>
      <w:r w:rsidRPr="00B3674F">
        <w:rPr>
          <w:rFonts w:ascii="Arial" w:hAnsi="Arial" w:cs="Arial"/>
          <w:sz w:val="22"/>
          <w:szCs w:val="22"/>
        </w:rPr>
        <w:t>GoldHaven Resources Corp. is a Canadian junior exploration company focused on advancing highly prospective mineral projects in North and South America. The Company’s flagship asset is the district-scale Magno Project in the Cassiar District of northern British Columbia. GoldHaven also owns the Three Guardsmen copper-gold project in British Columbia and the Copeçal Gold Project in Mato Grosso, Brazil. In addition, the Company holds a portfolio of critical mineral projects in Brazil.</w:t>
      </w:r>
    </w:p>
    <w:p w14:paraId="2B8FC479" w14:textId="77777777" w:rsidR="00F16285" w:rsidRPr="009D12D8" w:rsidRDefault="00F16285" w:rsidP="00F16285">
      <w:pPr>
        <w:jc w:val="both"/>
        <w:rPr>
          <w:rFonts w:ascii="Arial" w:hAnsi="Arial" w:cs="Arial"/>
          <w:sz w:val="22"/>
          <w:szCs w:val="22"/>
        </w:rPr>
      </w:pPr>
    </w:p>
    <w:p w14:paraId="457126E1" w14:textId="77777777" w:rsidR="00F16285" w:rsidRPr="00C304BB" w:rsidRDefault="00F16285" w:rsidP="00F16285">
      <w:pPr>
        <w:pBdr>
          <w:top w:val="nil"/>
          <w:left w:val="nil"/>
          <w:bottom w:val="nil"/>
          <w:right w:val="nil"/>
          <w:between w:val="nil"/>
        </w:pBdr>
        <w:jc w:val="both"/>
        <w:rPr>
          <w:rFonts w:ascii="Aptos" w:hAnsi="Aptos"/>
          <w:b/>
          <w:bCs/>
          <w:color w:val="000000"/>
          <w:sz w:val="22"/>
          <w:szCs w:val="22"/>
        </w:rPr>
      </w:pPr>
      <w:r w:rsidRPr="00C304BB">
        <w:rPr>
          <w:rFonts w:ascii="Aptos" w:hAnsi="Aptos"/>
          <w:b/>
          <w:bCs/>
          <w:color w:val="000000"/>
          <w:sz w:val="22"/>
          <w:szCs w:val="22"/>
        </w:rPr>
        <w:t xml:space="preserve">On Behalf of the Board of Directors </w:t>
      </w:r>
    </w:p>
    <w:p w14:paraId="20ED662C" w14:textId="77777777" w:rsidR="00F16285" w:rsidRPr="00C304BB" w:rsidRDefault="00F16285" w:rsidP="00F16285">
      <w:pPr>
        <w:pBdr>
          <w:top w:val="nil"/>
          <w:left w:val="nil"/>
          <w:bottom w:val="nil"/>
          <w:right w:val="nil"/>
          <w:between w:val="nil"/>
        </w:pBdr>
        <w:spacing w:line="216" w:lineRule="auto"/>
        <w:jc w:val="both"/>
        <w:rPr>
          <w:rFonts w:ascii="Aptos" w:hAnsi="Aptos"/>
          <w:color w:val="000000"/>
          <w:sz w:val="22"/>
          <w:szCs w:val="22"/>
        </w:rPr>
      </w:pPr>
    </w:p>
    <w:p w14:paraId="4E75770E" w14:textId="77777777" w:rsidR="00F16285" w:rsidRPr="00C304BB" w:rsidRDefault="00F16285" w:rsidP="00F16285">
      <w:pPr>
        <w:pBdr>
          <w:top w:val="nil"/>
          <w:left w:val="nil"/>
          <w:bottom w:val="nil"/>
          <w:right w:val="nil"/>
          <w:between w:val="nil"/>
        </w:pBdr>
        <w:jc w:val="both"/>
        <w:rPr>
          <w:rFonts w:ascii="Aptos" w:hAnsi="Aptos"/>
          <w:i/>
          <w:iCs/>
          <w:color w:val="000000"/>
          <w:sz w:val="22"/>
          <w:szCs w:val="22"/>
        </w:rPr>
      </w:pPr>
      <w:r w:rsidRPr="00C304BB">
        <w:rPr>
          <w:rFonts w:ascii="Aptos" w:hAnsi="Aptos"/>
          <w:i/>
          <w:iCs/>
          <w:color w:val="000000"/>
          <w:sz w:val="22"/>
          <w:szCs w:val="22"/>
        </w:rPr>
        <w:t>Rob Birmingham, Chief Executive Officer</w:t>
      </w:r>
    </w:p>
    <w:p w14:paraId="0B654275" w14:textId="77777777" w:rsidR="00F16285" w:rsidRPr="00C304BB" w:rsidRDefault="00F16285" w:rsidP="00F16285">
      <w:pPr>
        <w:pBdr>
          <w:top w:val="nil"/>
          <w:left w:val="nil"/>
          <w:bottom w:val="nil"/>
          <w:right w:val="nil"/>
          <w:between w:val="nil"/>
        </w:pBdr>
        <w:jc w:val="both"/>
        <w:rPr>
          <w:rFonts w:ascii="Aptos" w:hAnsi="Aptos"/>
          <w:color w:val="000000"/>
          <w:sz w:val="22"/>
          <w:szCs w:val="22"/>
        </w:rPr>
      </w:pPr>
    </w:p>
    <w:p w14:paraId="46B34B56" w14:textId="77777777" w:rsidR="00F16285" w:rsidRPr="00C304BB" w:rsidRDefault="00F16285" w:rsidP="00F16285">
      <w:pPr>
        <w:pBdr>
          <w:top w:val="nil"/>
          <w:left w:val="nil"/>
          <w:bottom w:val="nil"/>
          <w:right w:val="nil"/>
          <w:between w:val="nil"/>
        </w:pBdr>
        <w:jc w:val="both"/>
        <w:rPr>
          <w:rFonts w:ascii="Aptos" w:hAnsi="Aptos"/>
          <w:color w:val="000000"/>
        </w:rPr>
      </w:pPr>
      <w:r w:rsidRPr="00C304BB">
        <w:rPr>
          <w:rFonts w:ascii="Aptos" w:hAnsi="Aptos"/>
          <w:b/>
          <w:bCs/>
          <w:color w:val="000000"/>
          <w:sz w:val="22"/>
          <w:szCs w:val="22"/>
        </w:rPr>
        <w:t xml:space="preserve">For further information, please contact: </w:t>
      </w:r>
    </w:p>
    <w:p w14:paraId="675DEAFF" w14:textId="77777777" w:rsidR="00F16285" w:rsidRPr="00C304BB" w:rsidRDefault="00F16285" w:rsidP="00F16285">
      <w:pPr>
        <w:pBdr>
          <w:top w:val="nil"/>
          <w:left w:val="nil"/>
          <w:bottom w:val="nil"/>
          <w:right w:val="nil"/>
          <w:between w:val="nil"/>
        </w:pBdr>
        <w:spacing w:line="300" w:lineRule="auto"/>
        <w:jc w:val="both"/>
        <w:rPr>
          <w:rFonts w:ascii="Aptos" w:hAnsi="Aptos"/>
          <w:color w:val="000000"/>
          <w:sz w:val="22"/>
          <w:szCs w:val="22"/>
        </w:rPr>
      </w:pPr>
      <w:r w:rsidRPr="00C304BB">
        <w:rPr>
          <w:rFonts w:ascii="Aptos" w:hAnsi="Aptos"/>
          <w:b/>
          <w:bCs/>
          <w:color w:val="000000"/>
          <w:sz w:val="22"/>
          <w:szCs w:val="22"/>
        </w:rPr>
        <w:t>Rob Birmingham, CEO</w:t>
      </w:r>
    </w:p>
    <w:p w14:paraId="190D20CA" w14:textId="77777777" w:rsidR="00F16285" w:rsidRPr="00C304BB" w:rsidRDefault="00F16285" w:rsidP="00F16285">
      <w:pPr>
        <w:pBdr>
          <w:top w:val="nil"/>
          <w:left w:val="nil"/>
          <w:bottom w:val="nil"/>
          <w:right w:val="nil"/>
          <w:between w:val="nil"/>
        </w:pBdr>
        <w:spacing w:line="300" w:lineRule="auto"/>
        <w:jc w:val="both"/>
        <w:rPr>
          <w:rFonts w:ascii="Aptos" w:hAnsi="Aptos"/>
          <w:b/>
          <w:bCs/>
          <w:color w:val="000000"/>
          <w:sz w:val="22"/>
          <w:szCs w:val="22"/>
        </w:rPr>
      </w:pPr>
      <w:r w:rsidRPr="00C304BB">
        <w:rPr>
          <w:rFonts w:ascii="Aptos" w:hAnsi="Aptos"/>
          <w:b/>
          <w:bCs/>
          <w:color w:val="000000"/>
          <w:sz w:val="22"/>
          <w:szCs w:val="22"/>
          <w:u w:val="single"/>
        </w:rPr>
        <w:t>www.GoldHavenresources.com</w:t>
      </w:r>
    </w:p>
    <w:p w14:paraId="27AFAB4B" w14:textId="77777777" w:rsidR="00F16285" w:rsidRPr="00C304BB" w:rsidRDefault="00F16285" w:rsidP="00F16285">
      <w:pPr>
        <w:pBdr>
          <w:top w:val="nil"/>
          <w:left w:val="nil"/>
          <w:bottom w:val="nil"/>
          <w:right w:val="nil"/>
          <w:between w:val="nil"/>
        </w:pBdr>
        <w:spacing w:line="300" w:lineRule="auto"/>
        <w:jc w:val="both"/>
        <w:rPr>
          <w:rFonts w:ascii="Aptos" w:hAnsi="Aptos"/>
          <w:b/>
          <w:bCs/>
          <w:color w:val="000000"/>
          <w:sz w:val="22"/>
          <w:szCs w:val="22"/>
        </w:rPr>
      </w:pPr>
      <w:r w:rsidRPr="00C304BB">
        <w:rPr>
          <w:rFonts w:ascii="Aptos" w:hAnsi="Aptos"/>
          <w:color w:val="000000"/>
          <w:sz w:val="22"/>
          <w:szCs w:val="22"/>
          <w:u w:val="single"/>
        </w:rPr>
        <w:t>info@goldhavenresources.com</w:t>
      </w:r>
    </w:p>
    <w:p w14:paraId="194B21C8" w14:textId="77777777" w:rsidR="00F16285" w:rsidRPr="00444822" w:rsidRDefault="00F16285" w:rsidP="00F16285">
      <w:pPr>
        <w:pBdr>
          <w:top w:val="nil"/>
          <w:left w:val="nil"/>
          <w:bottom w:val="nil"/>
          <w:right w:val="nil"/>
          <w:between w:val="nil"/>
        </w:pBdr>
        <w:spacing w:line="300" w:lineRule="auto"/>
        <w:jc w:val="both"/>
        <w:rPr>
          <w:rFonts w:ascii="Aptos" w:hAnsi="Aptos"/>
          <w:b/>
          <w:bCs/>
          <w:color w:val="000000"/>
          <w:sz w:val="22"/>
          <w:szCs w:val="22"/>
        </w:rPr>
      </w:pPr>
      <w:r w:rsidRPr="00C304BB">
        <w:rPr>
          <w:rFonts w:ascii="Aptos" w:hAnsi="Aptos"/>
          <w:b/>
          <w:bCs/>
          <w:color w:val="000000"/>
          <w:sz w:val="22"/>
          <w:szCs w:val="22"/>
        </w:rPr>
        <w:t>Office Direct: (604) 629-8254</w:t>
      </w:r>
    </w:p>
    <w:p w14:paraId="725BBEB5" w14:textId="77777777" w:rsidR="00F16285" w:rsidRPr="009D12D8" w:rsidRDefault="00F16285" w:rsidP="00F16285">
      <w:pPr>
        <w:jc w:val="both"/>
        <w:rPr>
          <w:rFonts w:ascii="Arial" w:hAnsi="Arial" w:cs="Arial"/>
          <w:b/>
          <w:bCs/>
          <w:sz w:val="22"/>
          <w:szCs w:val="22"/>
        </w:rPr>
      </w:pPr>
    </w:p>
    <w:p w14:paraId="44B029C7" w14:textId="77777777" w:rsidR="00F16285" w:rsidRPr="00B3674F" w:rsidRDefault="00F16285" w:rsidP="00F16285">
      <w:pPr>
        <w:jc w:val="both"/>
        <w:rPr>
          <w:rFonts w:ascii="Arial" w:eastAsia="Times New Roman" w:hAnsi="Arial" w:cs="Arial"/>
          <w:b/>
          <w:bCs/>
          <w:i/>
          <w:iCs/>
          <w:sz w:val="22"/>
          <w:szCs w:val="22"/>
          <w:lang w:val="en-GB"/>
        </w:rPr>
      </w:pPr>
      <w:r w:rsidRPr="00B3674F">
        <w:rPr>
          <w:rFonts w:ascii="Arial" w:hAnsi="Arial" w:cs="Arial"/>
          <w:b/>
          <w:bCs/>
          <w:i/>
          <w:iCs/>
          <w:sz w:val="22"/>
          <w:szCs w:val="22"/>
        </w:rPr>
        <w:t>Cautionary Note Regarding Forward-Looking Statements</w:t>
      </w:r>
    </w:p>
    <w:p w14:paraId="353F933B" w14:textId="77777777" w:rsidR="00F16285" w:rsidRPr="00B3674F" w:rsidRDefault="00F16285" w:rsidP="00F16285">
      <w:pPr>
        <w:jc w:val="both"/>
        <w:rPr>
          <w:rFonts w:ascii="Arial" w:eastAsia="Times New Roman" w:hAnsi="Arial" w:cs="Arial"/>
          <w:bCs/>
          <w:i/>
          <w:iCs/>
          <w:sz w:val="22"/>
          <w:szCs w:val="22"/>
          <w:lang w:val="en-GB"/>
        </w:rPr>
      </w:pPr>
    </w:p>
    <w:p w14:paraId="63001367" w14:textId="25EDE568" w:rsidR="00F16285" w:rsidRPr="00B3674F" w:rsidRDefault="00F16285" w:rsidP="00F16285">
      <w:pPr>
        <w:jc w:val="both"/>
        <w:rPr>
          <w:rFonts w:ascii="Arial" w:eastAsia="Times New Roman" w:hAnsi="Arial" w:cs="Arial"/>
          <w:bCs/>
          <w:i/>
          <w:iCs/>
          <w:sz w:val="22"/>
          <w:szCs w:val="22"/>
          <w:lang w:val="en-GB"/>
        </w:rPr>
      </w:pPr>
      <w:r w:rsidRPr="00B3674F">
        <w:rPr>
          <w:rFonts w:ascii="Arial" w:eastAsia="Times New Roman" w:hAnsi="Arial" w:cs="Arial"/>
          <w:bCs/>
          <w:i/>
          <w:iCs/>
          <w:sz w:val="22"/>
          <w:szCs w:val="22"/>
          <w:lang w:val="en-GB"/>
        </w:rPr>
        <w:t>This news release contains forward-looking statements and other statements that are not historical facts. Forward-looking statements are often identified by terms such as “will”, “may”, “should”, “anticipate”, “expects”</w:t>
      </w:r>
      <w:r>
        <w:rPr>
          <w:rFonts w:ascii="Arial" w:eastAsia="Times New Roman" w:hAnsi="Arial" w:cs="Arial"/>
          <w:bCs/>
          <w:i/>
          <w:iCs/>
          <w:sz w:val="22"/>
          <w:szCs w:val="22"/>
          <w:lang w:val="en-GB"/>
        </w:rPr>
        <w:t>, “believes”,</w:t>
      </w:r>
      <w:r w:rsidRPr="00B3674F">
        <w:rPr>
          <w:rFonts w:ascii="Arial" w:eastAsia="Times New Roman" w:hAnsi="Arial" w:cs="Arial"/>
          <w:bCs/>
          <w:i/>
          <w:iCs/>
          <w:sz w:val="22"/>
          <w:szCs w:val="22"/>
          <w:lang w:val="en-GB"/>
        </w:rPr>
        <w:t xml:space="preserve"> and similar expressions</w:t>
      </w:r>
      <w:r w:rsidRPr="00B3674F">
        <w:t xml:space="preserve"> </w:t>
      </w:r>
      <w:r w:rsidRPr="00B3674F">
        <w:rPr>
          <w:rFonts w:ascii="Arial" w:eastAsia="Times New Roman" w:hAnsi="Arial" w:cs="Arial"/>
          <w:bCs/>
          <w:i/>
          <w:iCs/>
          <w:sz w:val="22"/>
          <w:szCs w:val="22"/>
          <w:lang w:val="en-GB"/>
        </w:rPr>
        <w:t xml:space="preserve">or the negative of these words or other comparable terminology. All statements other than statements of historical fact, included in this news release are forward-looking statements that involve risks and uncertainties. Forward-looking statements in this press release include, but are not limited to, statements regarding the Company’s exploration and development plans with respect to its projects, </w:t>
      </w:r>
      <w:r>
        <w:rPr>
          <w:rFonts w:ascii="Arial" w:eastAsia="Times New Roman" w:hAnsi="Arial" w:cs="Arial"/>
          <w:bCs/>
          <w:i/>
          <w:iCs/>
          <w:sz w:val="22"/>
          <w:szCs w:val="22"/>
          <w:lang w:val="en-GB"/>
        </w:rPr>
        <w:t xml:space="preserve">and </w:t>
      </w:r>
      <w:r w:rsidRPr="00B3674F">
        <w:rPr>
          <w:rFonts w:ascii="Arial" w:eastAsia="Times New Roman" w:hAnsi="Arial" w:cs="Arial"/>
          <w:bCs/>
          <w:i/>
          <w:iCs/>
          <w:sz w:val="22"/>
          <w:szCs w:val="22"/>
        </w:rPr>
        <w:t xml:space="preserve">statements </w:t>
      </w:r>
      <w:r w:rsidRPr="00B3674F">
        <w:rPr>
          <w:rFonts w:ascii="Arial" w:eastAsia="Times New Roman" w:hAnsi="Arial" w:cs="Arial"/>
          <w:bCs/>
          <w:i/>
          <w:iCs/>
          <w:sz w:val="22"/>
          <w:szCs w:val="22"/>
        </w:rPr>
        <w:lastRenderedPageBreak/>
        <w:t xml:space="preserve">regarding the LIFE Offering including, without limitation, </w:t>
      </w:r>
      <w:r w:rsidRPr="00B3674F">
        <w:rPr>
          <w:rFonts w:ascii="Arial" w:eastAsia="Times New Roman" w:hAnsi="Arial" w:cs="Arial"/>
          <w:bCs/>
          <w:i/>
          <w:iCs/>
          <w:sz w:val="22"/>
          <w:szCs w:val="22"/>
          <w:lang w:val="en-GB"/>
        </w:rPr>
        <w:t>anticipated business and operational activities</w:t>
      </w:r>
      <w:r>
        <w:rPr>
          <w:rFonts w:ascii="Arial" w:eastAsia="Times New Roman" w:hAnsi="Arial" w:cs="Arial"/>
          <w:bCs/>
          <w:i/>
          <w:iCs/>
          <w:sz w:val="22"/>
          <w:szCs w:val="22"/>
          <w:lang w:val="en-GB"/>
        </w:rPr>
        <w:t xml:space="preserve"> </w:t>
      </w:r>
      <w:r w:rsidR="00CA6FFC">
        <w:rPr>
          <w:rFonts w:ascii="Arial" w:eastAsia="Times New Roman" w:hAnsi="Arial" w:cs="Arial"/>
          <w:bCs/>
          <w:i/>
          <w:iCs/>
          <w:sz w:val="22"/>
          <w:szCs w:val="22"/>
          <w:lang w:val="en-GB"/>
        </w:rPr>
        <w:t xml:space="preserve">and </w:t>
      </w:r>
      <w:r w:rsidRPr="00B3674F">
        <w:rPr>
          <w:rFonts w:ascii="Arial" w:eastAsia="Times New Roman" w:hAnsi="Arial" w:cs="Arial"/>
          <w:bCs/>
          <w:i/>
          <w:iCs/>
          <w:sz w:val="22"/>
          <w:szCs w:val="22"/>
        </w:rPr>
        <w:t>the use of proceeds</w:t>
      </w:r>
      <w:r>
        <w:rPr>
          <w:rFonts w:ascii="Arial" w:eastAsia="Times New Roman" w:hAnsi="Arial" w:cs="Arial"/>
          <w:bCs/>
          <w:i/>
          <w:iCs/>
          <w:sz w:val="22"/>
          <w:szCs w:val="22"/>
          <w:lang w:val="en-GB"/>
        </w:rPr>
        <w:t xml:space="preserve">. </w:t>
      </w:r>
      <w:r w:rsidRPr="00B3674F">
        <w:rPr>
          <w:rFonts w:ascii="Arial" w:eastAsia="Times New Roman" w:hAnsi="Arial" w:cs="Arial"/>
          <w:bCs/>
          <w:i/>
          <w:iCs/>
          <w:sz w:val="22"/>
          <w:szCs w:val="22"/>
          <w:lang w:val="en-GB"/>
        </w:rPr>
        <w:t>There can be no assurance that such statements will prove to be accurate and actual results and future events could differ materially from those anticipated in such statements. Important factors that could cause actual results to differ materially from the Company’s expectations include</w:t>
      </w:r>
      <w:r>
        <w:rPr>
          <w:rFonts w:ascii="Arial" w:eastAsia="Times New Roman" w:hAnsi="Arial" w:cs="Arial"/>
          <w:bCs/>
          <w:i/>
          <w:iCs/>
          <w:sz w:val="22"/>
          <w:szCs w:val="22"/>
          <w:lang w:val="en-GB"/>
        </w:rPr>
        <w:t>,</w:t>
      </w:r>
      <w:r w:rsidRPr="00B3674F">
        <w:rPr>
          <w:rFonts w:ascii="Arial" w:eastAsia="Times New Roman" w:hAnsi="Arial" w:cs="Arial"/>
          <w:bCs/>
          <w:i/>
          <w:iCs/>
          <w:sz w:val="22"/>
          <w:szCs w:val="22"/>
          <w:lang w:val="en-GB"/>
        </w:rPr>
        <w:t xml:space="preserve"> but are not limited to</w:t>
      </w:r>
      <w:r>
        <w:rPr>
          <w:rFonts w:ascii="Arial" w:eastAsia="Times New Roman" w:hAnsi="Arial" w:cs="Arial"/>
          <w:bCs/>
          <w:i/>
          <w:iCs/>
          <w:sz w:val="22"/>
          <w:szCs w:val="22"/>
          <w:lang w:val="en-GB"/>
        </w:rPr>
        <w:t>,</w:t>
      </w:r>
      <w:r w:rsidRPr="00B3674F">
        <w:rPr>
          <w:rFonts w:ascii="Arial" w:eastAsia="Times New Roman" w:hAnsi="Arial" w:cs="Arial"/>
          <w:bCs/>
          <w:i/>
          <w:iCs/>
          <w:sz w:val="22"/>
          <w:szCs w:val="22"/>
          <w:lang w:val="en-GB"/>
        </w:rPr>
        <w:t xml:space="preserve"> the inherently unpredictable nature of resource exploration,</w:t>
      </w:r>
      <w:r>
        <w:rPr>
          <w:rFonts w:ascii="Arial" w:eastAsia="Times New Roman" w:hAnsi="Arial" w:cs="Arial"/>
          <w:bCs/>
          <w:i/>
          <w:iCs/>
          <w:sz w:val="22"/>
          <w:szCs w:val="22"/>
          <w:lang w:val="en-GB"/>
        </w:rPr>
        <w:t xml:space="preserve"> </w:t>
      </w:r>
      <w:r w:rsidRPr="00B3674F">
        <w:rPr>
          <w:rFonts w:ascii="Arial" w:eastAsia="Times New Roman" w:hAnsi="Arial" w:cs="Arial"/>
          <w:bCs/>
          <w:i/>
          <w:iCs/>
          <w:sz w:val="22"/>
          <w:szCs w:val="22"/>
          <w:lang w:val="en-GB"/>
        </w:rPr>
        <w:t>market conditions</w:t>
      </w:r>
      <w:r>
        <w:rPr>
          <w:rFonts w:ascii="Arial" w:eastAsia="Times New Roman" w:hAnsi="Arial" w:cs="Arial"/>
          <w:bCs/>
          <w:i/>
          <w:iCs/>
          <w:sz w:val="22"/>
          <w:szCs w:val="22"/>
          <w:lang w:val="en-GB"/>
        </w:rPr>
        <w:t xml:space="preserve">, </w:t>
      </w:r>
      <w:r w:rsidRPr="00B3674F">
        <w:rPr>
          <w:rFonts w:ascii="Arial" w:eastAsia="Times New Roman" w:hAnsi="Arial" w:cs="Arial"/>
          <w:bCs/>
          <w:i/>
          <w:iCs/>
          <w:sz w:val="22"/>
          <w:szCs w:val="22"/>
          <w:lang w:val="en-GB"/>
        </w:rPr>
        <w:t xml:space="preserve">fluctuations in commodity prices, and the risks detailed from time to time in the filings made by the Company with securities regulators. The reader is cautioned that assumptions used in the preparation of any forward-looking information may prove to be incorrect. Events or circumstances may cause actual results to differ materially from those predicted, as a result of numerous known and unknown risks, uncertainties, and other factors, many of which are beyond the control of the Company. The reader is cautioned not to place undue reliance on any forward-looking information. Such information, although considered reasonable by management at the time of preparation, may prove to be incorrect and actual results may differ materially from those anticipated. Forward-looking statements contained in this news release are expressly qualified by this cautionary statement. The forward-looking statements contained in this news release are made as of the date of this news release and the Company will </w:t>
      </w:r>
      <w:r w:rsidR="008939CE">
        <w:rPr>
          <w:rFonts w:ascii="Arial" w:eastAsia="Times New Roman" w:hAnsi="Arial" w:cs="Arial"/>
          <w:bCs/>
          <w:i/>
          <w:iCs/>
          <w:sz w:val="22"/>
          <w:szCs w:val="22"/>
          <w:lang w:val="en-GB"/>
        </w:rPr>
        <w:t xml:space="preserve">not </w:t>
      </w:r>
      <w:r w:rsidRPr="00B3674F">
        <w:rPr>
          <w:rFonts w:ascii="Arial" w:eastAsia="Times New Roman" w:hAnsi="Arial" w:cs="Arial"/>
          <w:bCs/>
          <w:i/>
          <w:iCs/>
          <w:sz w:val="22"/>
          <w:szCs w:val="22"/>
          <w:lang w:val="en-GB"/>
        </w:rPr>
        <w:t xml:space="preserve">update or revise publicly any of the included forward-looking statements </w:t>
      </w:r>
      <w:r w:rsidR="008939CE">
        <w:rPr>
          <w:rFonts w:ascii="Arial" w:eastAsia="Times New Roman" w:hAnsi="Arial" w:cs="Arial"/>
          <w:bCs/>
          <w:i/>
          <w:iCs/>
          <w:sz w:val="22"/>
          <w:szCs w:val="22"/>
          <w:lang w:val="en-GB"/>
        </w:rPr>
        <w:t xml:space="preserve">except </w:t>
      </w:r>
      <w:r w:rsidRPr="00B3674F">
        <w:rPr>
          <w:rFonts w:ascii="Arial" w:eastAsia="Times New Roman" w:hAnsi="Arial" w:cs="Arial"/>
          <w:bCs/>
          <w:i/>
          <w:iCs/>
          <w:sz w:val="22"/>
          <w:szCs w:val="22"/>
          <w:lang w:val="en-GB"/>
        </w:rPr>
        <w:t xml:space="preserve">as expressly required by applicable law. </w:t>
      </w:r>
      <w:bookmarkEnd w:id="0"/>
    </w:p>
    <w:p w14:paraId="14F52F83" w14:textId="77777777" w:rsidR="00F16285" w:rsidRPr="00B3674F" w:rsidRDefault="00F16285" w:rsidP="00F16285">
      <w:pPr>
        <w:jc w:val="both"/>
        <w:rPr>
          <w:rFonts w:ascii="Arial" w:eastAsia="Times New Roman" w:hAnsi="Arial" w:cs="Arial"/>
          <w:bCs/>
          <w:i/>
          <w:iCs/>
          <w:sz w:val="22"/>
          <w:szCs w:val="22"/>
          <w:lang w:val="en-GB"/>
        </w:rPr>
      </w:pPr>
    </w:p>
    <w:p w14:paraId="1D2C66F2" w14:textId="77777777" w:rsidR="00F16285" w:rsidRPr="00B3674F" w:rsidRDefault="00F16285" w:rsidP="00F16285">
      <w:pPr>
        <w:jc w:val="both"/>
        <w:rPr>
          <w:rFonts w:ascii="Arial" w:eastAsia="Times New Roman" w:hAnsi="Arial" w:cs="Arial"/>
          <w:bCs/>
          <w:i/>
          <w:iCs/>
          <w:sz w:val="22"/>
          <w:szCs w:val="22"/>
          <w:lang w:val="en-GB"/>
        </w:rPr>
      </w:pPr>
      <w:r w:rsidRPr="00B3674F">
        <w:rPr>
          <w:rFonts w:ascii="Arial" w:eastAsia="Times New Roman" w:hAnsi="Arial" w:cs="Arial"/>
          <w:bCs/>
          <w:i/>
          <w:iCs/>
          <w:sz w:val="22"/>
          <w:szCs w:val="22"/>
          <w:lang w:val="en-GB"/>
        </w:rPr>
        <w:t>Neither the Canadian Securities Exchange nor the Market Regulator (as that term is defined in the policies of the Canadian Securities Exchange) accepts responsibility for the adequacy or accuracy of this news release.</w:t>
      </w:r>
    </w:p>
    <w:p w14:paraId="73710D08" w14:textId="564BF7D6" w:rsidR="00AD1268" w:rsidRPr="00F16285" w:rsidRDefault="00AD1268" w:rsidP="00F16285"/>
    <w:sectPr w:rsidR="00AD1268" w:rsidRPr="00F16285" w:rsidSect="00620F7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8A0DD" w14:textId="77777777" w:rsidR="004701A3" w:rsidRDefault="004701A3">
      <w:r>
        <w:separator/>
      </w:r>
    </w:p>
  </w:endnote>
  <w:endnote w:type="continuationSeparator" w:id="0">
    <w:p w14:paraId="092ADDFB" w14:textId="77777777" w:rsidR="004701A3" w:rsidRDefault="00470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iDocIDFieldb1226ff0-34ba-4373-8f40-0e4e"/>
  <w:p w14:paraId="4D2292F7" w14:textId="1D166BF4" w:rsidR="0022437F" w:rsidRDefault="0022437F">
    <w:r>
      <w:fldChar w:fldCharType="begin"/>
    </w:r>
    <w:r>
      <w:instrText xml:space="preserve">  DOCPROPERTY "CUS_DocIDChunk0" </w:instrText>
    </w:r>
    <w:r>
      <w:fldChar w:fldCharType="separate"/>
    </w:r>
    <w:r w:rsidR="00502243" w:rsidRPr="00676DD4">
      <w:rPr>
        <w:rStyle w:val="DocID"/>
      </w:rPr>
      <w:t>LEGAL\115933469\2</w:t>
    </w:r>
    <w:r>
      <w:fldChar w:fldCharType="end"/>
    </w:r>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iDocIDField4e5bf9d8-62c1-4d08-8cf7-08cb"/>
  <w:p w14:paraId="737F5C22" w14:textId="00384045" w:rsidR="0022437F" w:rsidRDefault="0022437F">
    <w:r>
      <w:fldChar w:fldCharType="begin"/>
    </w:r>
    <w:r>
      <w:instrText xml:space="preserve">  DOCPROPERTY "CUS_DocIDChunk0" </w:instrText>
    </w:r>
    <w:r>
      <w:fldChar w:fldCharType="separate"/>
    </w:r>
    <w:r w:rsidR="00502243" w:rsidRPr="00676DD4">
      <w:rPr>
        <w:rStyle w:val="DocID"/>
      </w:rPr>
      <w:t>LEGAL\115933469\2</w:t>
    </w:r>
    <w:r>
      <w:fldChar w:fldCharType="end"/>
    </w:r>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 w:name="_iDocIDField9a993f49-fb7f-4ceb-9f82-c763"/>
  <w:p w14:paraId="13D1449C" w14:textId="09063544" w:rsidR="0022437F" w:rsidRDefault="0022437F">
    <w:r>
      <w:fldChar w:fldCharType="begin"/>
    </w:r>
    <w:r>
      <w:instrText xml:space="preserve">  DOCPROPERTY "CUS_DocIDChunk0" </w:instrText>
    </w:r>
    <w:r>
      <w:fldChar w:fldCharType="separate"/>
    </w:r>
    <w:r w:rsidR="00502243" w:rsidRPr="00676DD4">
      <w:rPr>
        <w:rStyle w:val="DocID"/>
      </w:rPr>
      <w:t>LEGAL\115933469\2</w:t>
    </w:r>
    <w:r>
      <w:fldChar w:fldCharType="end"/>
    </w:r>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39587" w14:textId="77777777" w:rsidR="004701A3" w:rsidRDefault="004701A3">
      <w:r>
        <w:separator/>
      </w:r>
    </w:p>
  </w:footnote>
  <w:footnote w:type="continuationSeparator" w:id="0">
    <w:p w14:paraId="4E76C79A" w14:textId="77777777" w:rsidR="004701A3" w:rsidRDefault="004701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2927B" w14:textId="77777777" w:rsidR="00A1161F" w:rsidRDefault="00A116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sz w:val="22"/>
        <w:szCs w:val="22"/>
      </w:rPr>
      <w:id w:val="42419127"/>
      <w:docPartObj>
        <w:docPartGallery w:val="Page Numbers (Top of Page)"/>
        <w:docPartUnique/>
      </w:docPartObj>
    </w:sdtPr>
    <w:sdtEndPr>
      <w:rPr>
        <w:noProof/>
      </w:rPr>
    </w:sdtEndPr>
    <w:sdtContent>
      <w:p w14:paraId="73710D09" w14:textId="77777777" w:rsidR="00004C06" w:rsidRPr="00A22436" w:rsidRDefault="008B1771">
        <w:pPr>
          <w:pStyle w:val="Header"/>
          <w:jc w:val="center"/>
          <w:rPr>
            <w:rFonts w:ascii="Aptos" w:hAnsi="Aptos"/>
            <w:sz w:val="22"/>
            <w:szCs w:val="22"/>
          </w:rPr>
        </w:pPr>
        <w:r w:rsidRPr="00A22436">
          <w:rPr>
            <w:rFonts w:ascii="Aptos" w:hAnsi="Aptos"/>
            <w:sz w:val="22"/>
            <w:szCs w:val="22"/>
          </w:rPr>
          <w:fldChar w:fldCharType="begin"/>
        </w:r>
        <w:r w:rsidRPr="00A22436">
          <w:rPr>
            <w:rFonts w:ascii="Aptos" w:hAnsi="Aptos"/>
            <w:sz w:val="22"/>
            <w:szCs w:val="22"/>
          </w:rPr>
          <w:instrText xml:space="preserve"> PAGE   \* MERGEFORMAT </w:instrText>
        </w:r>
        <w:r w:rsidRPr="00A22436">
          <w:rPr>
            <w:rFonts w:ascii="Aptos" w:hAnsi="Aptos"/>
            <w:sz w:val="22"/>
            <w:szCs w:val="22"/>
          </w:rPr>
          <w:fldChar w:fldCharType="separate"/>
        </w:r>
        <w:r w:rsidRPr="00A22436">
          <w:rPr>
            <w:rFonts w:ascii="Aptos" w:hAnsi="Aptos"/>
            <w:noProof/>
            <w:sz w:val="22"/>
            <w:szCs w:val="22"/>
          </w:rPr>
          <w:t>2</w:t>
        </w:r>
        <w:r w:rsidRPr="00A22436">
          <w:rPr>
            <w:rFonts w:ascii="Aptos" w:hAnsi="Aptos"/>
            <w:noProof/>
            <w:sz w:val="22"/>
            <w:szCs w:val="22"/>
          </w:rPr>
          <w:fldChar w:fldCharType="end"/>
        </w:r>
      </w:p>
    </w:sdtContent>
  </w:sdt>
  <w:p w14:paraId="73710D0A" w14:textId="77777777" w:rsidR="004917C3" w:rsidRPr="00A22436" w:rsidRDefault="004917C3">
    <w:pPr>
      <w:pStyle w:val="Header"/>
      <w:rPr>
        <w:rFonts w:ascii="Aptos" w:hAnsi="Aptos"/>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10D0D" w14:textId="678F60A1" w:rsidR="001F694D" w:rsidRPr="00A1161F" w:rsidRDefault="00A1161F" w:rsidP="00A1161F">
    <w:pPr>
      <w:pStyle w:val="NormalWeb"/>
      <w:jc w:val="center"/>
      <w:rPr>
        <w:i/>
        <w:iCs/>
        <w:color w:val="7F7F7F"/>
        <w:sz w:val="20"/>
        <w:szCs w:val="20"/>
      </w:rPr>
    </w:pPr>
    <w:r w:rsidRPr="00C66884">
      <w:rPr>
        <w:i/>
        <w:iCs/>
        <w:color w:val="7F7F7F"/>
        <w:sz w:val="20"/>
        <w:szCs w:val="20"/>
      </w:rPr>
      <w:t>NOT FOR DISTRIBUTION TO U.S. NEWSWIRE SERVICES OR DISSEMINATION IN THE UNITED STATES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8CC6CE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41E65453"/>
    <w:multiLevelType w:val="hybridMultilevel"/>
    <w:tmpl w:val="539AABB2"/>
    <w:lvl w:ilvl="0" w:tplc="3940CF44">
      <w:start w:val="1"/>
      <w:numFmt w:val="decimal"/>
      <w:lvlText w:val="%1."/>
      <w:lvlJc w:val="left"/>
      <w:pPr>
        <w:ind w:left="720" w:hanging="360"/>
      </w:pPr>
      <w:rPr>
        <w:b w:val="0"/>
      </w:rPr>
    </w:lvl>
    <w:lvl w:ilvl="1" w:tplc="1B1C864C" w:tentative="1">
      <w:start w:val="1"/>
      <w:numFmt w:val="lowerLetter"/>
      <w:lvlText w:val="%2."/>
      <w:lvlJc w:val="left"/>
      <w:pPr>
        <w:ind w:left="1440" w:hanging="360"/>
      </w:pPr>
    </w:lvl>
    <w:lvl w:ilvl="2" w:tplc="A87E9268" w:tentative="1">
      <w:start w:val="1"/>
      <w:numFmt w:val="lowerRoman"/>
      <w:lvlText w:val="%3."/>
      <w:lvlJc w:val="right"/>
      <w:pPr>
        <w:ind w:left="2160" w:hanging="180"/>
      </w:pPr>
    </w:lvl>
    <w:lvl w:ilvl="3" w:tplc="4B5C951E" w:tentative="1">
      <w:start w:val="1"/>
      <w:numFmt w:val="decimal"/>
      <w:lvlText w:val="%4."/>
      <w:lvlJc w:val="left"/>
      <w:pPr>
        <w:ind w:left="2880" w:hanging="360"/>
      </w:pPr>
    </w:lvl>
    <w:lvl w:ilvl="4" w:tplc="0F685CC0" w:tentative="1">
      <w:start w:val="1"/>
      <w:numFmt w:val="lowerLetter"/>
      <w:lvlText w:val="%5."/>
      <w:lvlJc w:val="left"/>
      <w:pPr>
        <w:ind w:left="3600" w:hanging="360"/>
      </w:pPr>
    </w:lvl>
    <w:lvl w:ilvl="5" w:tplc="B0E84974" w:tentative="1">
      <w:start w:val="1"/>
      <w:numFmt w:val="lowerRoman"/>
      <w:lvlText w:val="%6."/>
      <w:lvlJc w:val="right"/>
      <w:pPr>
        <w:ind w:left="4320" w:hanging="180"/>
      </w:pPr>
    </w:lvl>
    <w:lvl w:ilvl="6" w:tplc="6F185280" w:tentative="1">
      <w:start w:val="1"/>
      <w:numFmt w:val="decimal"/>
      <w:lvlText w:val="%7."/>
      <w:lvlJc w:val="left"/>
      <w:pPr>
        <w:ind w:left="5040" w:hanging="360"/>
      </w:pPr>
    </w:lvl>
    <w:lvl w:ilvl="7" w:tplc="4C8274B4" w:tentative="1">
      <w:start w:val="1"/>
      <w:numFmt w:val="lowerLetter"/>
      <w:lvlText w:val="%8."/>
      <w:lvlJc w:val="left"/>
      <w:pPr>
        <w:ind w:left="5760" w:hanging="360"/>
      </w:pPr>
    </w:lvl>
    <w:lvl w:ilvl="8" w:tplc="793C623C" w:tentative="1">
      <w:start w:val="1"/>
      <w:numFmt w:val="lowerRoman"/>
      <w:lvlText w:val="%9."/>
      <w:lvlJc w:val="right"/>
      <w:pPr>
        <w:ind w:left="6480" w:hanging="180"/>
      </w:pPr>
    </w:lvl>
  </w:abstractNum>
  <w:abstractNum w:abstractNumId="2" w15:restartNumberingAfterBreak="0">
    <w:nsid w:val="62E24531"/>
    <w:multiLevelType w:val="hybridMultilevel"/>
    <w:tmpl w:val="68A85EFA"/>
    <w:lvl w:ilvl="0" w:tplc="65F49EAC">
      <w:start w:val="1"/>
      <w:numFmt w:val="decimal"/>
      <w:lvlText w:val="%1."/>
      <w:lvlJc w:val="left"/>
      <w:pPr>
        <w:ind w:left="720" w:hanging="360"/>
      </w:pPr>
      <w:rPr>
        <w:rFonts w:hint="default"/>
      </w:rPr>
    </w:lvl>
    <w:lvl w:ilvl="1" w:tplc="B43CE5DE" w:tentative="1">
      <w:start w:val="1"/>
      <w:numFmt w:val="lowerLetter"/>
      <w:lvlText w:val="%2."/>
      <w:lvlJc w:val="left"/>
      <w:pPr>
        <w:ind w:left="1440" w:hanging="360"/>
      </w:pPr>
    </w:lvl>
    <w:lvl w:ilvl="2" w:tplc="1D6E4E08" w:tentative="1">
      <w:start w:val="1"/>
      <w:numFmt w:val="lowerRoman"/>
      <w:lvlText w:val="%3."/>
      <w:lvlJc w:val="right"/>
      <w:pPr>
        <w:ind w:left="2160" w:hanging="180"/>
      </w:pPr>
    </w:lvl>
    <w:lvl w:ilvl="3" w:tplc="0A14FA74" w:tentative="1">
      <w:start w:val="1"/>
      <w:numFmt w:val="decimal"/>
      <w:lvlText w:val="%4."/>
      <w:lvlJc w:val="left"/>
      <w:pPr>
        <w:ind w:left="2880" w:hanging="360"/>
      </w:pPr>
    </w:lvl>
    <w:lvl w:ilvl="4" w:tplc="E5B617E2" w:tentative="1">
      <w:start w:val="1"/>
      <w:numFmt w:val="lowerLetter"/>
      <w:lvlText w:val="%5."/>
      <w:lvlJc w:val="left"/>
      <w:pPr>
        <w:ind w:left="3600" w:hanging="360"/>
      </w:pPr>
    </w:lvl>
    <w:lvl w:ilvl="5" w:tplc="7F3C8F8C" w:tentative="1">
      <w:start w:val="1"/>
      <w:numFmt w:val="lowerRoman"/>
      <w:lvlText w:val="%6."/>
      <w:lvlJc w:val="right"/>
      <w:pPr>
        <w:ind w:left="4320" w:hanging="180"/>
      </w:pPr>
    </w:lvl>
    <w:lvl w:ilvl="6" w:tplc="51B05112" w:tentative="1">
      <w:start w:val="1"/>
      <w:numFmt w:val="decimal"/>
      <w:lvlText w:val="%7."/>
      <w:lvlJc w:val="left"/>
      <w:pPr>
        <w:ind w:left="5040" w:hanging="360"/>
      </w:pPr>
    </w:lvl>
    <w:lvl w:ilvl="7" w:tplc="7104334E" w:tentative="1">
      <w:start w:val="1"/>
      <w:numFmt w:val="lowerLetter"/>
      <w:lvlText w:val="%8."/>
      <w:lvlJc w:val="left"/>
      <w:pPr>
        <w:ind w:left="5760" w:hanging="360"/>
      </w:pPr>
    </w:lvl>
    <w:lvl w:ilvl="8" w:tplc="82707730" w:tentative="1">
      <w:start w:val="1"/>
      <w:numFmt w:val="lowerRoman"/>
      <w:lvlText w:val="%9."/>
      <w:lvlJc w:val="right"/>
      <w:pPr>
        <w:ind w:left="6480" w:hanging="180"/>
      </w:pPr>
    </w:lvl>
  </w:abstractNum>
  <w:abstractNum w:abstractNumId="3" w15:restartNumberingAfterBreak="0">
    <w:nsid w:val="65AE101C"/>
    <w:multiLevelType w:val="hybridMultilevel"/>
    <w:tmpl w:val="7424E508"/>
    <w:lvl w:ilvl="0" w:tplc="D800154C">
      <w:start w:val="1"/>
      <w:numFmt w:val="bullet"/>
      <w:lvlText w:val=""/>
      <w:lvlJc w:val="left"/>
      <w:pPr>
        <w:ind w:left="720" w:hanging="360"/>
      </w:pPr>
      <w:rPr>
        <w:rFonts w:ascii="Symbol" w:hAnsi="Symbol" w:hint="default"/>
      </w:rPr>
    </w:lvl>
    <w:lvl w:ilvl="1" w:tplc="424A787A" w:tentative="1">
      <w:start w:val="1"/>
      <w:numFmt w:val="bullet"/>
      <w:lvlText w:val="o"/>
      <w:lvlJc w:val="left"/>
      <w:pPr>
        <w:ind w:left="1440" w:hanging="360"/>
      </w:pPr>
      <w:rPr>
        <w:rFonts w:ascii="Courier New" w:hAnsi="Courier New" w:cs="Courier New" w:hint="default"/>
      </w:rPr>
    </w:lvl>
    <w:lvl w:ilvl="2" w:tplc="78EC6C68" w:tentative="1">
      <w:start w:val="1"/>
      <w:numFmt w:val="bullet"/>
      <w:lvlText w:val=""/>
      <w:lvlJc w:val="left"/>
      <w:pPr>
        <w:ind w:left="2160" w:hanging="360"/>
      </w:pPr>
      <w:rPr>
        <w:rFonts w:ascii="Wingdings" w:hAnsi="Wingdings" w:hint="default"/>
      </w:rPr>
    </w:lvl>
    <w:lvl w:ilvl="3" w:tplc="32F2D73E" w:tentative="1">
      <w:start w:val="1"/>
      <w:numFmt w:val="bullet"/>
      <w:lvlText w:val=""/>
      <w:lvlJc w:val="left"/>
      <w:pPr>
        <w:ind w:left="2880" w:hanging="360"/>
      </w:pPr>
      <w:rPr>
        <w:rFonts w:ascii="Symbol" w:hAnsi="Symbol" w:hint="default"/>
      </w:rPr>
    </w:lvl>
    <w:lvl w:ilvl="4" w:tplc="FD60DD14" w:tentative="1">
      <w:start w:val="1"/>
      <w:numFmt w:val="bullet"/>
      <w:lvlText w:val="o"/>
      <w:lvlJc w:val="left"/>
      <w:pPr>
        <w:ind w:left="3600" w:hanging="360"/>
      </w:pPr>
      <w:rPr>
        <w:rFonts w:ascii="Courier New" w:hAnsi="Courier New" w:cs="Courier New" w:hint="default"/>
      </w:rPr>
    </w:lvl>
    <w:lvl w:ilvl="5" w:tplc="D760294E" w:tentative="1">
      <w:start w:val="1"/>
      <w:numFmt w:val="bullet"/>
      <w:lvlText w:val=""/>
      <w:lvlJc w:val="left"/>
      <w:pPr>
        <w:ind w:left="4320" w:hanging="360"/>
      </w:pPr>
      <w:rPr>
        <w:rFonts w:ascii="Wingdings" w:hAnsi="Wingdings" w:hint="default"/>
      </w:rPr>
    </w:lvl>
    <w:lvl w:ilvl="6" w:tplc="1504A70A" w:tentative="1">
      <w:start w:val="1"/>
      <w:numFmt w:val="bullet"/>
      <w:lvlText w:val=""/>
      <w:lvlJc w:val="left"/>
      <w:pPr>
        <w:ind w:left="5040" w:hanging="360"/>
      </w:pPr>
      <w:rPr>
        <w:rFonts w:ascii="Symbol" w:hAnsi="Symbol" w:hint="default"/>
      </w:rPr>
    </w:lvl>
    <w:lvl w:ilvl="7" w:tplc="BDCE21E2" w:tentative="1">
      <w:start w:val="1"/>
      <w:numFmt w:val="bullet"/>
      <w:lvlText w:val="o"/>
      <w:lvlJc w:val="left"/>
      <w:pPr>
        <w:ind w:left="5760" w:hanging="360"/>
      </w:pPr>
      <w:rPr>
        <w:rFonts w:ascii="Courier New" w:hAnsi="Courier New" w:cs="Courier New" w:hint="default"/>
      </w:rPr>
    </w:lvl>
    <w:lvl w:ilvl="8" w:tplc="3DE01C94" w:tentative="1">
      <w:start w:val="1"/>
      <w:numFmt w:val="bullet"/>
      <w:lvlText w:val=""/>
      <w:lvlJc w:val="left"/>
      <w:pPr>
        <w:ind w:left="6480" w:hanging="360"/>
      </w:pPr>
      <w:rPr>
        <w:rFonts w:ascii="Wingdings" w:hAnsi="Wingdings" w:hint="default"/>
      </w:rPr>
    </w:lvl>
  </w:abstractNum>
  <w:num w:numId="1" w16cid:durableId="1612977167">
    <w:abstractNumId w:val="1"/>
  </w:num>
  <w:num w:numId="2" w16cid:durableId="1258250948">
    <w:abstractNumId w:val="0"/>
  </w:num>
  <w:num w:numId="3" w16cid:durableId="1305159528">
    <w:abstractNumId w:val="3"/>
  </w:num>
  <w:num w:numId="4" w16cid:durableId="18179194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IDClientMatter" w:val="False"/>
    <w:docVar w:name="DocIDLibrary" w:val="True"/>
    <w:docVar w:name="DocIDType" w:val="AllPages"/>
    <w:docVar w:name="LegacyDocIDRemoved" w:val="True"/>
  </w:docVars>
  <w:rsids>
    <w:rsidRoot w:val="005D009D"/>
    <w:rsid w:val="00004C06"/>
    <w:rsid w:val="000061A3"/>
    <w:rsid w:val="00022544"/>
    <w:rsid w:val="00023903"/>
    <w:rsid w:val="000346D5"/>
    <w:rsid w:val="0004726D"/>
    <w:rsid w:val="00055552"/>
    <w:rsid w:val="00062B98"/>
    <w:rsid w:val="00097A46"/>
    <w:rsid w:val="000A351C"/>
    <w:rsid w:val="000B4136"/>
    <w:rsid w:val="000B6369"/>
    <w:rsid w:val="000D6F71"/>
    <w:rsid w:val="000E7D1F"/>
    <w:rsid w:val="0010502E"/>
    <w:rsid w:val="00113B44"/>
    <w:rsid w:val="001152B7"/>
    <w:rsid w:val="00120BCC"/>
    <w:rsid w:val="0012177D"/>
    <w:rsid w:val="00127663"/>
    <w:rsid w:val="00132745"/>
    <w:rsid w:val="00136317"/>
    <w:rsid w:val="00141DFF"/>
    <w:rsid w:val="001449A5"/>
    <w:rsid w:val="00145891"/>
    <w:rsid w:val="001524D3"/>
    <w:rsid w:val="00165C80"/>
    <w:rsid w:val="00171DF9"/>
    <w:rsid w:val="0017265E"/>
    <w:rsid w:val="00174651"/>
    <w:rsid w:val="00175341"/>
    <w:rsid w:val="00175503"/>
    <w:rsid w:val="001819EB"/>
    <w:rsid w:val="00181A2A"/>
    <w:rsid w:val="00191579"/>
    <w:rsid w:val="001A5459"/>
    <w:rsid w:val="001C4F4B"/>
    <w:rsid w:val="001D596E"/>
    <w:rsid w:val="001E05F1"/>
    <w:rsid w:val="001E0FA2"/>
    <w:rsid w:val="001E3D6B"/>
    <w:rsid w:val="001F406E"/>
    <w:rsid w:val="001F694D"/>
    <w:rsid w:val="0022437F"/>
    <w:rsid w:val="0023178C"/>
    <w:rsid w:val="0023382B"/>
    <w:rsid w:val="00242913"/>
    <w:rsid w:val="00244678"/>
    <w:rsid w:val="00273A1A"/>
    <w:rsid w:val="0028186C"/>
    <w:rsid w:val="002835C7"/>
    <w:rsid w:val="002912FE"/>
    <w:rsid w:val="0029351E"/>
    <w:rsid w:val="00296B10"/>
    <w:rsid w:val="002B1B35"/>
    <w:rsid w:val="002C3039"/>
    <w:rsid w:val="0030361C"/>
    <w:rsid w:val="00321E07"/>
    <w:rsid w:val="003370AA"/>
    <w:rsid w:val="00337BEC"/>
    <w:rsid w:val="0039273C"/>
    <w:rsid w:val="003B29E2"/>
    <w:rsid w:val="003C760A"/>
    <w:rsid w:val="003C7C84"/>
    <w:rsid w:val="003D142B"/>
    <w:rsid w:val="003D5F05"/>
    <w:rsid w:val="003F3764"/>
    <w:rsid w:val="004020CC"/>
    <w:rsid w:val="0041019C"/>
    <w:rsid w:val="00456E6C"/>
    <w:rsid w:val="00465649"/>
    <w:rsid w:val="004701A3"/>
    <w:rsid w:val="004917C3"/>
    <w:rsid w:val="004977F1"/>
    <w:rsid w:val="004A0228"/>
    <w:rsid w:val="004B19A4"/>
    <w:rsid w:val="004B46F1"/>
    <w:rsid w:val="004B67E8"/>
    <w:rsid w:val="004E1038"/>
    <w:rsid w:val="004F6696"/>
    <w:rsid w:val="00501D31"/>
    <w:rsid w:val="00502243"/>
    <w:rsid w:val="0050308B"/>
    <w:rsid w:val="0050549C"/>
    <w:rsid w:val="00520CC5"/>
    <w:rsid w:val="00525193"/>
    <w:rsid w:val="00535466"/>
    <w:rsid w:val="0055031B"/>
    <w:rsid w:val="005607CF"/>
    <w:rsid w:val="00594C9E"/>
    <w:rsid w:val="005B0699"/>
    <w:rsid w:val="005D009D"/>
    <w:rsid w:val="005D07C9"/>
    <w:rsid w:val="005D54D5"/>
    <w:rsid w:val="005E0CAF"/>
    <w:rsid w:val="005E2908"/>
    <w:rsid w:val="005E4F4A"/>
    <w:rsid w:val="005F15C5"/>
    <w:rsid w:val="00604A9A"/>
    <w:rsid w:val="00613A0A"/>
    <w:rsid w:val="00620F74"/>
    <w:rsid w:val="006336DE"/>
    <w:rsid w:val="006750FC"/>
    <w:rsid w:val="00676DD4"/>
    <w:rsid w:val="006842C3"/>
    <w:rsid w:val="006918F4"/>
    <w:rsid w:val="00695A1E"/>
    <w:rsid w:val="006A4D9A"/>
    <w:rsid w:val="006B16AA"/>
    <w:rsid w:val="006B4747"/>
    <w:rsid w:val="006C5B70"/>
    <w:rsid w:val="006C701C"/>
    <w:rsid w:val="006D791C"/>
    <w:rsid w:val="006E1996"/>
    <w:rsid w:val="006E268F"/>
    <w:rsid w:val="006F5C38"/>
    <w:rsid w:val="00701433"/>
    <w:rsid w:val="00703FB7"/>
    <w:rsid w:val="00723F58"/>
    <w:rsid w:val="00751119"/>
    <w:rsid w:val="00754986"/>
    <w:rsid w:val="00767C07"/>
    <w:rsid w:val="0078140C"/>
    <w:rsid w:val="007855F9"/>
    <w:rsid w:val="007857FF"/>
    <w:rsid w:val="007E16C6"/>
    <w:rsid w:val="007F02C1"/>
    <w:rsid w:val="007F0920"/>
    <w:rsid w:val="007F62F9"/>
    <w:rsid w:val="00824DC3"/>
    <w:rsid w:val="0084069E"/>
    <w:rsid w:val="00850B34"/>
    <w:rsid w:val="0085513C"/>
    <w:rsid w:val="008667DB"/>
    <w:rsid w:val="00881108"/>
    <w:rsid w:val="00883E18"/>
    <w:rsid w:val="0088477F"/>
    <w:rsid w:val="008939CE"/>
    <w:rsid w:val="008B1771"/>
    <w:rsid w:val="00903232"/>
    <w:rsid w:val="00927D37"/>
    <w:rsid w:val="0094222F"/>
    <w:rsid w:val="009437C0"/>
    <w:rsid w:val="0095074A"/>
    <w:rsid w:val="00951A9A"/>
    <w:rsid w:val="00953E14"/>
    <w:rsid w:val="009639DC"/>
    <w:rsid w:val="00976063"/>
    <w:rsid w:val="00980508"/>
    <w:rsid w:val="00987A1F"/>
    <w:rsid w:val="00992622"/>
    <w:rsid w:val="009A0A40"/>
    <w:rsid w:val="009B1F93"/>
    <w:rsid w:val="009B5467"/>
    <w:rsid w:val="009C1ADD"/>
    <w:rsid w:val="009D12D8"/>
    <w:rsid w:val="009D4220"/>
    <w:rsid w:val="00A06BB7"/>
    <w:rsid w:val="00A1161F"/>
    <w:rsid w:val="00A22436"/>
    <w:rsid w:val="00A326FE"/>
    <w:rsid w:val="00A4315D"/>
    <w:rsid w:val="00A45A89"/>
    <w:rsid w:val="00A74166"/>
    <w:rsid w:val="00AB4B3B"/>
    <w:rsid w:val="00AC5799"/>
    <w:rsid w:val="00AD1268"/>
    <w:rsid w:val="00AE2606"/>
    <w:rsid w:val="00B0216C"/>
    <w:rsid w:val="00B03543"/>
    <w:rsid w:val="00B175D6"/>
    <w:rsid w:val="00B26A2C"/>
    <w:rsid w:val="00B3674F"/>
    <w:rsid w:val="00B37523"/>
    <w:rsid w:val="00B37EB6"/>
    <w:rsid w:val="00B42B4F"/>
    <w:rsid w:val="00B54731"/>
    <w:rsid w:val="00B6156A"/>
    <w:rsid w:val="00B77607"/>
    <w:rsid w:val="00BA26BB"/>
    <w:rsid w:val="00BA4B63"/>
    <w:rsid w:val="00BB2A65"/>
    <w:rsid w:val="00BB3659"/>
    <w:rsid w:val="00BB3EFD"/>
    <w:rsid w:val="00BB640A"/>
    <w:rsid w:val="00BB773C"/>
    <w:rsid w:val="00BD621B"/>
    <w:rsid w:val="00C0164C"/>
    <w:rsid w:val="00C13218"/>
    <w:rsid w:val="00C50661"/>
    <w:rsid w:val="00C55343"/>
    <w:rsid w:val="00C6244C"/>
    <w:rsid w:val="00C7642C"/>
    <w:rsid w:val="00C966E9"/>
    <w:rsid w:val="00CA3E51"/>
    <w:rsid w:val="00CA6FFC"/>
    <w:rsid w:val="00CB0C48"/>
    <w:rsid w:val="00CB3719"/>
    <w:rsid w:val="00CC0A36"/>
    <w:rsid w:val="00CD70E3"/>
    <w:rsid w:val="00CF0E37"/>
    <w:rsid w:val="00CF1760"/>
    <w:rsid w:val="00CF7E98"/>
    <w:rsid w:val="00D066F5"/>
    <w:rsid w:val="00D104B9"/>
    <w:rsid w:val="00D12E7D"/>
    <w:rsid w:val="00D13536"/>
    <w:rsid w:val="00D213E0"/>
    <w:rsid w:val="00D22752"/>
    <w:rsid w:val="00D40AFE"/>
    <w:rsid w:val="00D50679"/>
    <w:rsid w:val="00D5067D"/>
    <w:rsid w:val="00D642E5"/>
    <w:rsid w:val="00D74FD4"/>
    <w:rsid w:val="00D8528A"/>
    <w:rsid w:val="00D94736"/>
    <w:rsid w:val="00D953A8"/>
    <w:rsid w:val="00D955A4"/>
    <w:rsid w:val="00DA25A3"/>
    <w:rsid w:val="00DA3A54"/>
    <w:rsid w:val="00DB413E"/>
    <w:rsid w:val="00DB5237"/>
    <w:rsid w:val="00DC3D89"/>
    <w:rsid w:val="00DD150C"/>
    <w:rsid w:val="00DD15CB"/>
    <w:rsid w:val="00DE3853"/>
    <w:rsid w:val="00DF5D3B"/>
    <w:rsid w:val="00E02414"/>
    <w:rsid w:val="00E03FE2"/>
    <w:rsid w:val="00E13C74"/>
    <w:rsid w:val="00E20016"/>
    <w:rsid w:val="00E27C82"/>
    <w:rsid w:val="00E4465C"/>
    <w:rsid w:val="00E5015A"/>
    <w:rsid w:val="00E523B6"/>
    <w:rsid w:val="00E53787"/>
    <w:rsid w:val="00E6126D"/>
    <w:rsid w:val="00E6206A"/>
    <w:rsid w:val="00E63718"/>
    <w:rsid w:val="00E6743F"/>
    <w:rsid w:val="00E76E37"/>
    <w:rsid w:val="00E84FC5"/>
    <w:rsid w:val="00E86346"/>
    <w:rsid w:val="00EB13BE"/>
    <w:rsid w:val="00EC291D"/>
    <w:rsid w:val="00ED738D"/>
    <w:rsid w:val="00EE3C22"/>
    <w:rsid w:val="00EE633E"/>
    <w:rsid w:val="00EF6F67"/>
    <w:rsid w:val="00F16285"/>
    <w:rsid w:val="00F16388"/>
    <w:rsid w:val="00F2496F"/>
    <w:rsid w:val="00F418E4"/>
    <w:rsid w:val="00F56671"/>
    <w:rsid w:val="00F71DD8"/>
    <w:rsid w:val="00F97B98"/>
    <w:rsid w:val="00FA3F94"/>
    <w:rsid w:val="00FB02CA"/>
    <w:rsid w:val="00FC1055"/>
    <w:rsid w:val="00FF1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710CEB"/>
  <w15:docId w15:val="{541851E9-00F1-4201-8319-6A1FEE787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137D39"/>
    <w:pPr>
      <w:spacing w:before="100" w:beforeAutospacing="1" w:after="100" w:afterAutospacing="1"/>
    </w:pPr>
    <w:rPr>
      <w:rFonts w:ascii="Times New Roman" w:eastAsia="Times New Roman" w:hAnsi="Times New Roman" w:cs="Times New Roman"/>
      <w:lang w:val="en-CA"/>
    </w:rPr>
  </w:style>
  <w:style w:type="paragraph" w:styleId="BalloonText">
    <w:name w:val="Balloon Text"/>
    <w:basedOn w:val="Normal"/>
    <w:link w:val="BalloonTextChar"/>
    <w:uiPriority w:val="99"/>
    <w:semiHidden/>
    <w:unhideWhenUsed/>
    <w:rsid w:val="00137D3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37D39"/>
    <w:rPr>
      <w:rFonts w:ascii="Times New Roman" w:hAnsi="Times New Roman" w:cs="Times New Roman"/>
      <w:sz w:val="18"/>
      <w:szCs w:val="18"/>
    </w:rPr>
  </w:style>
  <w:style w:type="character" w:customStyle="1" w:styleId="apple-converted-space">
    <w:name w:val="apple-converted-space"/>
    <w:basedOn w:val="DefaultParagraphFont"/>
    <w:rsid w:val="0001628F"/>
  </w:style>
  <w:style w:type="paragraph" w:styleId="Header">
    <w:name w:val="header"/>
    <w:basedOn w:val="Normal"/>
    <w:link w:val="HeaderChar"/>
    <w:uiPriority w:val="99"/>
    <w:unhideWhenUsed/>
    <w:rsid w:val="008A2026"/>
    <w:pPr>
      <w:tabs>
        <w:tab w:val="center" w:pos="4680"/>
        <w:tab w:val="right" w:pos="9360"/>
      </w:tabs>
    </w:pPr>
  </w:style>
  <w:style w:type="character" w:customStyle="1" w:styleId="HeaderChar">
    <w:name w:val="Header Char"/>
    <w:basedOn w:val="DefaultParagraphFont"/>
    <w:link w:val="Header"/>
    <w:uiPriority w:val="99"/>
    <w:rsid w:val="008A2026"/>
  </w:style>
  <w:style w:type="paragraph" w:styleId="Footer">
    <w:name w:val="footer"/>
    <w:basedOn w:val="Normal"/>
    <w:link w:val="FooterChar"/>
    <w:uiPriority w:val="99"/>
    <w:unhideWhenUsed/>
    <w:rsid w:val="008A2026"/>
    <w:pPr>
      <w:tabs>
        <w:tab w:val="center" w:pos="4680"/>
        <w:tab w:val="right" w:pos="9360"/>
      </w:tabs>
    </w:pPr>
  </w:style>
  <w:style w:type="character" w:customStyle="1" w:styleId="FooterChar">
    <w:name w:val="Footer Char"/>
    <w:basedOn w:val="DefaultParagraphFont"/>
    <w:link w:val="Footer"/>
    <w:uiPriority w:val="99"/>
    <w:rsid w:val="008A2026"/>
  </w:style>
  <w:style w:type="paragraph" w:customStyle="1" w:styleId="DocsID">
    <w:name w:val="DocsID"/>
    <w:basedOn w:val="Normal"/>
    <w:rsid w:val="008A2026"/>
    <w:pPr>
      <w:spacing w:before="20"/>
    </w:pPr>
    <w:rPr>
      <w:rFonts w:ascii="Arial" w:eastAsia="Times New Roman" w:hAnsi="Arial" w:cs="Arial"/>
      <w:color w:val="000080"/>
      <w:sz w:val="16"/>
      <w:szCs w:val="20"/>
      <w:lang w:val="en-CA"/>
    </w:rPr>
  </w:style>
  <w:style w:type="paragraph" w:styleId="ListParagraph">
    <w:name w:val="List Paragraph"/>
    <w:basedOn w:val="Normal"/>
    <w:uiPriority w:val="34"/>
    <w:qFormat/>
    <w:rsid w:val="00EF5928"/>
    <w:pPr>
      <w:ind w:left="720"/>
      <w:contextualSpacing/>
    </w:pPr>
  </w:style>
  <w:style w:type="character" w:customStyle="1" w:styleId="Prompt">
    <w:name w:val="Prompt"/>
    <w:basedOn w:val="DefaultParagraphFont"/>
    <w:rsid w:val="007E77AE"/>
    <w:rPr>
      <w:rFonts w:ascii="Arial" w:eastAsia="Times New Roman" w:hAnsi="Arial" w:cs="Arial"/>
      <w:b/>
      <w:bCs/>
      <w:color w:val="0000FF"/>
      <w:sz w:val="22"/>
      <w:szCs w:val="22"/>
      <w:lang w:val="en-CA"/>
    </w:rPr>
  </w:style>
  <w:style w:type="character" w:styleId="Hyperlink">
    <w:name w:val="Hyperlink"/>
    <w:basedOn w:val="DefaultParagraphFont"/>
    <w:uiPriority w:val="99"/>
    <w:unhideWhenUsed/>
    <w:rsid w:val="00CC02FB"/>
    <w:rPr>
      <w:color w:val="0563C1" w:themeColor="hyperlink"/>
      <w:u w:val="single"/>
    </w:rPr>
  </w:style>
  <w:style w:type="character" w:customStyle="1" w:styleId="xn-money">
    <w:name w:val="xn-money"/>
    <w:basedOn w:val="DefaultParagraphFont"/>
    <w:rsid w:val="005E4F4A"/>
  </w:style>
  <w:style w:type="character" w:customStyle="1" w:styleId="DocID">
    <w:name w:val="DocID"/>
    <w:basedOn w:val="DefaultParagraphFont"/>
    <w:rsid w:val="00F16285"/>
    <w:rPr>
      <w:rFonts w:ascii="Times New Roman" w:hAnsi="Times New Roman" w:cs="Times New Roman"/>
      <w:b w:val="0"/>
      <w:bCs/>
      <w:i w:val="0"/>
      <w:caps w:val="0"/>
      <w:vanish w:val="0"/>
      <w:color w:val="000000"/>
      <w:sz w:val="16"/>
      <w:szCs w:val="28"/>
      <w:u w:val="none"/>
    </w:rPr>
  </w:style>
  <w:style w:type="paragraph" w:styleId="Revision">
    <w:name w:val="Revision"/>
    <w:hidden/>
    <w:uiPriority w:val="99"/>
    <w:semiHidden/>
    <w:rsid w:val="005E2908"/>
  </w:style>
  <w:style w:type="character" w:customStyle="1" w:styleId="UnresolvedMention1">
    <w:name w:val="Unresolved Mention1"/>
    <w:basedOn w:val="DefaultParagraphFont"/>
    <w:uiPriority w:val="99"/>
    <w:semiHidden/>
    <w:unhideWhenUsed/>
    <w:rsid w:val="00520CC5"/>
    <w:rPr>
      <w:color w:val="605E5C"/>
      <w:shd w:val="clear" w:color="auto" w:fill="E1DFDD"/>
    </w:rPr>
  </w:style>
  <w:style w:type="paragraph" w:styleId="ListBullet">
    <w:name w:val="List Bullet"/>
    <w:basedOn w:val="Normal"/>
    <w:uiPriority w:val="99"/>
    <w:unhideWhenUsed/>
    <w:rsid w:val="00E523B6"/>
    <w:pPr>
      <w:numPr>
        <w:numId w:val="2"/>
      </w:numPr>
      <w:contextualSpacing/>
    </w:pPr>
  </w:style>
  <w:style w:type="paragraph" w:styleId="NoSpacing">
    <w:name w:val="No Spacing"/>
    <w:uiPriority w:val="1"/>
    <w:qFormat/>
    <w:rsid w:val="003D5F05"/>
    <w:rPr>
      <w:sz w:val="22"/>
      <w:szCs w:val="22"/>
      <w:lang w:val="en-CA"/>
    </w:rPr>
  </w:style>
  <w:style w:type="character" w:styleId="UnresolvedMention">
    <w:name w:val="Unresolved Mention"/>
    <w:basedOn w:val="DefaultParagraphFont"/>
    <w:uiPriority w:val="99"/>
    <w:rsid w:val="001E3D6B"/>
    <w:rPr>
      <w:color w:val="605E5C"/>
      <w:shd w:val="clear" w:color="auto" w:fill="E1DFDD"/>
    </w:rPr>
  </w:style>
  <w:style w:type="character" w:customStyle="1" w:styleId="NormalWebChar">
    <w:name w:val="Normal (Web) Char"/>
    <w:basedOn w:val="DefaultParagraphFont"/>
    <w:link w:val="NormalWeb"/>
    <w:uiPriority w:val="99"/>
    <w:rsid w:val="0022437F"/>
    <w:rPr>
      <w:rFonts w:ascii="Times New Roman" w:eastAsia="Times New Roman" w:hAnsi="Times New Roman" w:cs="Times New Roman"/>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LEGAL!115933469.2</documentid>
  <senderid>MJEEWANJEE</senderid>
  <senderemail>MJEEWANJEE@COZEN.COM</senderemail>
  <lastmodified>2026-06-08T17:20:00.0000000-07:00</lastmodified>
  <database>LEGAL</database>
</properties>
</file>

<file path=customXml/itemProps1.xml><?xml version="1.0" encoding="utf-8"?>
<ds:datastoreItem xmlns:ds="http://schemas.openxmlformats.org/officeDocument/2006/customXml" ds:itemID="{05B1BFCB-2C27-4751-A190-3B0B8BC49F71}">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1195</Words>
  <Characters>6812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Bucci, Sydney</dc:creator>
  <cp:keywords/>
  <cp:lastModifiedBy>Steve Vanry</cp:lastModifiedBy>
  <cp:revision>3</cp:revision>
  <dcterms:created xsi:type="dcterms:W3CDTF">2026-06-09T00:48:00Z</dcterms:created>
  <dcterms:modified xsi:type="dcterms:W3CDTF">2026-06-09T04:20:00Z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umber">
    <vt:lpwstr>115933469</vt:lpwstr>
  </property>
  <property fmtid="{D5CDD505-2E9C-101B-9397-08002B2CF9AE}" pid="3" name="DocumentVersion">
    <vt:lpwstr>2</vt:lpwstr>
  </property>
  <property fmtid="{D5CDD505-2E9C-101B-9397-08002B2CF9AE}" pid="4" name="ClientNumber">
    <vt:lpwstr>3705095</vt:lpwstr>
  </property>
  <property fmtid="{D5CDD505-2E9C-101B-9397-08002B2CF9AE}" pid="5" name="MatterNumber">
    <vt:lpwstr>00626656</vt:lpwstr>
  </property>
  <property fmtid="{D5CDD505-2E9C-101B-9397-08002B2CF9AE}" pid="6" name="ClientName">
    <vt:lpwstr>GoldHaven Resources Corp</vt:lpwstr>
  </property>
  <property fmtid="{D5CDD505-2E9C-101B-9397-08002B2CF9AE}" pid="7" name="MatterName">
    <vt:lpwstr>GoldHaven Resources Corp. - General Corporate/Securities</vt:lpwstr>
  </property>
  <property fmtid="{D5CDD505-2E9C-101B-9397-08002B2CF9AE}" pid="8" name="DatabaseName">
    <vt:lpwstr>LEGAL</vt:lpwstr>
  </property>
  <property fmtid="{D5CDD505-2E9C-101B-9397-08002B2CF9AE}" pid="9" name="TypistName">
    <vt:lpwstr>SBUCCI</vt:lpwstr>
  </property>
  <property fmtid="{D5CDD505-2E9C-101B-9397-08002B2CF9AE}" pid="10" name="AuthorName">
    <vt:lpwstr>SBUCCI</vt:lpwstr>
  </property>
  <property fmtid="{D5CDD505-2E9C-101B-9397-08002B2CF9AE}" pid="11" name="InUseBy">
    <vt:lpwstr>MJEEWANJEE</vt:lpwstr>
  </property>
  <property fmtid="{D5CDD505-2E9C-101B-9397-08002B2CF9AE}" pid="12" name="EditDate">
    <vt:lpwstr>6/9/2026 12:10:12 AM</vt:lpwstr>
  </property>
  <property fmtid="{D5CDD505-2E9C-101B-9397-08002B2CF9AE}" pid="13" name="EditTime">
    <vt:lpwstr/>
  </property>
  <property fmtid="{D5CDD505-2E9C-101B-9397-08002B2CF9AE}" pid="14" name="IsiManageWork">
    <vt:lpwstr>True</vt:lpwstr>
  </property>
  <property fmtid="{D5CDD505-2E9C-101B-9397-08002B2CF9AE}" pid="15" name="DocID">
    <vt:lpwstr>LEGAL\115933469\2</vt:lpwstr>
  </property>
  <property fmtid="{D5CDD505-2E9C-101B-9397-08002B2CF9AE}" pid="16" name="CUS_DocIDString">
    <vt:lpwstr>LEGAL\115933469\2</vt:lpwstr>
  </property>
  <property fmtid="{D5CDD505-2E9C-101B-9397-08002B2CF9AE}" pid="17" name="CUS_DocIDChunk0">
    <vt:lpwstr>LEGAL\115933469\2</vt:lpwstr>
  </property>
  <property fmtid="{D5CDD505-2E9C-101B-9397-08002B2CF9AE}" pid="18" name="CUS_DocIDActiveBits">
    <vt:lpwstr>129024</vt:lpwstr>
  </property>
  <property fmtid="{D5CDD505-2E9C-101B-9397-08002B2CF9AE}" pid="19" name="CUS_DocIDLocation">
    <vt:lpwstr>EVERY_PAGE</vt:lpwstr>
  </property>
  <property fmtid="{D5CDD505-2E9C-101B-9397-08002B2CF9AE}" pid="20" name="CUS_DocIDReference">
    <vt:lpwstr>everyPage</vt:lpwstr>
  </property>
</Properties>
</file>