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4DA38" w14:textId="5E429EAD" w:rsidR="006632C2" w:rsidRPr="00000112" w:rsidRDefault="006632C2" w:rsidP="001F152F">
      <w:pPr>
        <w:spacing w:line="360" w:lineRule="auto"/>
        <w:jc w:val="center"/>
        <w:rPr>
          <w:rFonts w:eastAsiaTheme="minorHAnsi"/>
          <w:b/>
          <w:bCs/>
          <w:color w:val="000000" w:themeColor="text1"/>
          <w:u w:val="single"/>
          <w:lang w:val="en"/>
        </w:rPr>
      </w:pPr>
      <w:r w:rsidRPr="00000112">
        <w:rPr>
          <w:rFonts w:eastAsiaTheme="minorHAnsi"/>
          <w:b/>
          <w:bCs/>
          <w:color w:val="000000" w:themeColor="text1"/>
          <w:u w:val="single"/>
          <w:lang w:val="en"/>
        </w:rPr>
        <w:t>FOR IMMEDIATE RELEASE</w:t>
      </w:r>
      <w:r w:rsidR="001F152F">
        <w:rPr>
          <w:rFonts w:eastAsiaTheme="minorHAnsi"/>
          <w:b/>
          <w:bCs/>
          <w:color w:val="000000" w:themeColor="text1"/>
          <w:u w:val="single"/>
          <w:lang w:val="en"/>
        </w:rPr>
        <w:br/>
      </w:r>
    </w:p>
    <w:p w14:paraId="3E937FCA" w14:textId="0B24B2D3" w:rsidR="00A458AB" w:rsidRDefault="004075D3" w:rsidP="00BE775D">
      <w:pPr>
        <w:pBdr>
          <w:top w:val="nil"/>
          <w:left w:val="nil"/>
          <w:bottom w:val="nil"/>
          <w:right w:val="nil"/>
          <w:between w:val="nil"/>
        </w:pBdr>
        <w:shd w:val="clear" w:color="auto" w:fill="FFFFFF"/>
        <w:spacing w:line="360" w:lineRule="auto"/>
        <w:jc w:val="center"/>
        <w:rPr>
          <w:b/>
          <w:sz w:val="28"/>
          <w:szCs w:val="28"/>
        </w:rPr>
      </w:pPr>
      <w:r w:rsidRPr="004075D3">
        <w:rPr>
          <w:b/>
          <w:sz w:val="28"/>
          <w:szCs w:val="28"/>
        </w:rPr>
        <w:t xml:space="preserve">Asep Medical Announces </w:t>
      </w:r>
      <w:r w:rsidR="00BE775D">
        <w:rPr>
          <w:b/>
          <w:sz w:val="28"/>
          <w:szCs w:val="28"/>
        </w:rPr>
        <w:t xml:space="preserve">$288,500 </w:t>
      </w:r>
      <w:r w:rsidR="00650313">
        <w:rPr>
          <w:b/>
          <w:sz w:val="28"/>
          <w:szCs w:val="28"/>
        </w:rPr>
        <w:t>Debt Settlement</w:t>
      </w:r>
      <w:r w:rsidR="007F1F30">
        <w:rPr>
          <w:b/>
          <w:sz w:val="28"/>
          <w:szCs w:val="28"/>
        </w:rPr>
        <w:t xml:space="preserve"> </w:t>
      </w:r>
    </w:p>
    <w:p w14:paraId="1741818C" w14:textId="77777777" w:rsidR="001F152F" w:rsidRDefault="001F152F">
      <w:pPr>
        <w:pBdr>
          <w:top w:val="nil"/>
          <w:left w:val="nil"/>
          <w:bottom w:val="nil"/>
          <w:right w:val="nil"/>
          <w:between w:val="nil"/>
        </w:pBdr>
        <w:shd w:val="clear" w:color="auto" w:fill="FFFFFF"/>
        <w:spacing w:line="360" w:lineRule="auto"/>
        <w:jc w:val="both"/>
        <w:rPr>
          <w:sz w:val="20"/>
          <w:szCs w:val="20"/>
        </w:rPr>
      </w:pPr>
    </w:p>
    <w:p w14:paraId="49CDA2C0" w14:textId="12BDD282" w:rsidR="00FF6A4C" w:rsidRDefault="001448F3" w:rsidP="001F152F">
      <w:pPr>
        <w:pBdr>
          <w:top w:val="nil"/>
          <w:left w:val="nil"/>
          <w:bottom w:val="nil"/>
          <w:right w:val="nil"/>
          <w:between w:val="nil"/>
        </w:pBdr>
        <w:shd w:val="clear" w:color="auto" w:fill="FFFFFF"/>
        <w:spacing w:line="360" w:lineRule="auto"/>
        <w:rPr>
          <w:bCs/>
          <w:sz w:val="20"/>
          <w:szCs w:val="20"/>
        </w:rPr>
      </w:pPr>
      <w:r>
        <w:rPr>
          <w:sz w:val="20"/>
          <w:szCs w:val="20"/>
        </w:rPr>
        <w:t xml:space="preserve">VANCOUVER, BC, </w:t>
      </w:r>
      <w:r w:rsidR="00A74563">
        <w:rPr>
          <w:sz w:val="20"/>
          <w:szCs w:val="20"/>
        </w:rPr>
        <w:t>September 18</w:t>
      </w:r>
      <w:r w:rsidR="004E7C70">
        <w:rPr>
          <w:sz w:val="20"/>
          <w:szCs w:val="20"/>
        </w:rPr>
        <w:t>, 2026</w:t>
      </w:r>
      <w:r w:rsidR="006632C2">
        <w:rPr>
          <w:sz w:val="20"/>
          <w:szCs w:val="20"/>
        </w:rPr>
        <w:t xml:space="preserve"> </w:t>
      </w:r>
      <w:r>
        <w:rPr>
          <w:sz w:val="20"/>
          <w:szCs w:val="20"/>
        </w:rPr>
        <w:t xml:space="preserve">— </w:t>
      </w:r>
      <w:r>
        <w:rPr>
          <w:b/>
          <w:sz w:val="20"/>
          <w:szCs w:val="20"/>
        </w:rPr>
        <w:t xml:space="preserve">Asep Medical Holdings Inc. (“Asep” </w:t>
      </w:r>
      <w:r>
        <w:rPr>
          <w:sz w:val="20"/>
          <w:szCs w:val="20"/>
        </w:rPr>
        <w:t>or the </w:t>
      </w:r>
      <w:r>
        <w:rPr>
          <w:b/>
          <w:sz w:val="20"/>
          <w:szCs w:val="20"/>
        </w:rPr>
        <w:t xml:space="preserve">“Company”) (CSE: ASEP) (OTCQB: SEPSF) </w:t>
      </w:r>
      <w:r w:rsidR="00FF6A4C">
        <w:rPr>
          <w:b/>
          <w:sz w:val="20"/>
          <w:szCs w:val="20"/>
        </w:rPr>
        <w:t xml:space="preserve">(FSE: JJ8) </w:t>
      </w:r>
      <w:r w:rsidR="00650313" w:rsidRPr="00650313">
        <w:rPr>
          <w:bCs/>
          <w:sz w:val="20"/>
          <w:szCs w:val="20"/>
        </w:rPr>
        <w:t>intends to settle debt (the "</w:t>
      </w:r>
      <w:r w:rsidR="00650313" w:rsidRPr="00C26AD7">
        <w:rPr>
          <w:b/>
          <w:sz w:val="20"/>
          <w:szCs w:val="20"/>
        </w:rPr>
        <w:t>Debt Settlement</w:t>
      </w:r>
      <w:r w:rsidR="00650313" w:rsidRPr="00C26AD7">
        <w:rPr>
          <w:bCs/>
          <w:sz w:val="20"/>
          <w:szCs w:val="20"/>
        </w:rPr>
        <w:t xml:space="preserve">"), on </w:t>
      </w:r>
      <w:r w:rsidR="003C4EF7">
        <w:rPr>
          <w:bCs/>
          <w:sz w:val="20"/>
          <w:szCs w:val="20"/>
        </w:rPr>
        <w:t>September 18, 2026</w:t>
      </w:r>
      <w:r w:rsidR="00650313" w:rsidRPr="00C26AD7">
        <w:rPr>
          <w:bCs/>
          <w:sz w:val="20"/>
          <w:szCs w:val="20"/>
        </w:rPr>
        <w:t>, in the aggregate amount of $</w:t>
      </w:r>
      <w:r w:rsidR="00BE775D">
        <w:rPr>
          <w:bCs/>
          <w:sz w:val="20"/>
          <w:szCs w:val="20"/>
        </w:rPr>
        <w:t xml:space="preserve">288,500 </w:t>
      </w:r>
      <w:r w:rsidR="00650313" w:rsidRPr="00C26AD7">
        <w:rPr>
          <w:bCs/>
          <w:sz w:val="20"/>
          <w:szCs w:val="20"/>
        </w:rPr>
        <w:t xml:space="preserve">owed by the Company to certain creditors of the Company in exchange for </w:t>
      </w:r>
      <w:r w:rsidR="00BE775D">
        <w:rPr>
          <w:bCs/>
          <w:sz w:val="20"/>
          <w:szCs w:val="20"/>
        </w:rPr>
        <w:t>2,882,500</w:t>
      </w:r>
      <w:r w:rsidR="00E466C8">
        <w:rPr>
          <w:bCs/>
          <w:sz w:val="20"/>
          <w:szCs w:val="20"/>
        </w:rPr>
        <w:t xml:space="preserve"> </w:t>
      </w:r>
      <w:r w:rsidR="00A74563">
        <w:rPr>
          <w:bCs/>
          <w:sz w:val="20"/>
          <w:szCs w:val="20"/>
        </w:rPr>
        <w:t>common shares</w:t>
      </w:r>
      <w:r w:rsidR="00650313" w:rsidRPr="00C26AD7">
        <w:rPr>
          <w:bCs/>
          <w:sz w:val="20"/>
          <w:szCs w:val="20"/>
        </w:rPr>
        <w:t xml:space="preserve"> (each, a "</w:t>
      </w:r>
      <w:r w:rsidR="003C4EF7">
        <w:rPr>
          <w:b/>
          <w:sz w:val="20"/>
          <w:szCs w:val="20"/>
        </w:rPr>
        <w:t xml:space="preserve">Debt </w:t>
      </w:r>
      <w:r w:rsidR="00A74563">
        <w:rPr>
          <w:b/>
          <w:sz w:val="20"/>
          <w:szCs w:val="20"/>
        </w:rPr>
        <w:t>Share</w:t>
      </w:r>
      <w:r w:rsidR="00650313" w:rsidRPr="00C26AD7">
        <w:rPr>
          <w:bCs/>
          <w:sz w:val="20"/>
          <w:szCs w:val="20"/>
        </w:rPr>
        <w:t xml:space="preserve">") at a price of </w:t>
      </w:r>
      <w:r w:rsidR="003C4EF7">
        <w:rPr>
          <w:bCs/>
          <w:sz w:val="20"/>
          <w:szCs w:val="20"/>
        </w:rPr>
        <w:t>$0.10</w:t>
      </w:r>
      <w:r w:rsidR="00E466C8">
        <w:rPr>
          <w:bCs/>
          <w:sz w:val="20"/>
          <w:szCs w:val="20"/>
        </w:rPr>
        <w:t xml:space="preserve"> </w:t>
      </w:r>
      <w:r w:rsidR="00650313" w:rsidRPr="00C26AD7">
        <w:rPr>
          <w:bCs/>
          <w:sz w:val="20"/>
          <w:szCs w:val="20"/>
        </w:rPr>
        <w:t xml:space="preserve">per </w:t>
      </w:r>
      <w:r w:rsidR="003C4EF7">
        <w:rPr>
          <w:bCs/>
          <w:sz w:val="20"/>
          <w:szCs w:val="20"/>
        </w:rPr>
        <w:t xml:space="preserve">Debt </w:t>
      </w:r>
      <w:r w:rsidR="00A74563">
        <w:rPr>
          <w:bCs/>
          <w:sz w:val="20"/>
          <w:szCs w:val="20"/>
        </w:rPr>
        <w:t>Share</w:t>
      </w:r>
      <w:r w:rsidR="00650313" w:rsidRPr="00C26AD7">
        <w:rPr>
          <w:bCs/>
          <w:sz w:val="20"/>
          <w:szCs w:val="20"/>
        </w:rPr>
        <w:t>. The debt to be settled relates to fees payable to certain creditors, directors, officers and</w:t>
      </w:r>
      <w:r w:rsidR="00650313">
        <w:rPr>
          <w:bCs/>
          <w:sz w:val="20"/>
          <w:szCs w:val="20"/>
        </w:rPr>
        <w:t xml:space="preserve"> advisors</w:t>
      </w:r>
      <w:r w:rsidR="00650313" w:rsidRPr="00650313">
        <w:rPr>
          <w:bCs/>
          <w:sz w:val="20"/>
          <w:szCs w:val="20"/>
        </w:rPr>
        <w:t xml:space="preserve"> of the Company.</w:t>
      </w:r>
      <w:r w:rsidR="004075D3">
        <w:rPr>
          <w:bCs/>
          <w:sz w:val="20"/>
          <w:szCs w:val="20"/>
        </w:rPr>
        <w:t xml:space="preserve"> </w:t>
      </w:r>
    </w:p>
    <w:p w14:paraId="12CFF8E8" w14:textId="06D6FC5B" w:rsidR="00650313" w:rsidRDefault="00650313" w:rsidP="001F152F">
      <w:pPr>
        <w:pBdr>
          <w:top w:val="nil"/>
          <w:left w:val="nil"/>
          <w:bottom w:val="nil"/>
          <w:right w:val="nil"/>
          <w:between w:val="nil"/>
        </w:pBdr>
        <w:shd w:val="clear" w:color="auto" w:fill="FFFFFF"/>
        <w:spacing w:before="240" w:line="360" w:lineRule="auto"/>
        <w:rPr>
          <w:bCs/>
          <w:sz w:val="20"/>
          <w:szCs w:val="20"/>
        </w:rPr>
      </w:pPr>
      <w:r w:rsidRPr="00650313">
        <w:rPr>
          <w:bCs/>
          <w:sz w:val="20"/>
          <w:szCs w:val="20"/>
        </w:rPr>
        <w:t xml:space="preserve">The proposed </w:t>
      </w:r>
      <w:r>
        <w:rPr>
          <w:bCs/>
          <w:sz w:val="20"/>
          <w:szCs w:val="20"/>
        </w:rPr>
        <w:t>D</w:t>
      </w:r>
      <w:r w:rsidRPr="00650313">
        <w:rPr>
          <w:bCs/>
          <w:sz w:val="20"/>
          <w:szCs w:val="20"/>
        </w:rPr>
        <w:t xml:space="preserve">ebt </w:t>
      </w:r>
      <w:r>
        <w:rPr>
          <w:bCs/>
          <w:sz w:val="20"/>
          <w:szCs w:val="20"/>
        </w:rPr>
        <w:t>S</w:t>
      </w:r>
      <w:r w:rsidRPr="00650313">
        <w:rPr>
          <w:bCs/>
          <w:sz w:val="20"/>
          <w:szCs w:val="20"/>
        </w:rPr>
        <w:t>ettlement is a "related party transaction" within the meaning of Multilateral Instrument 61-101 Protection of Minority Security Holders in Special Transactions ("</w:t>
      </w:r>
      <w:r w:rsidRPr="00650313">
        <w:rPr>
          <w:b/>
          <w:sz w:val="20"/>
          <w:szCs w:val="20"/>
        </w:rPr>
        <w:t>MI 61-101</w:t>
      </w:r>
      <w:r w:rsidRPr="00650313">
        <w:rPr>
          <w:bCs/>
          <w:sz w:val="20"/>
          <w:szCs w:val="20"/>
        </w:rPr>
        <w:t xml:space="preserve">"). The </w:t>
      </w:r>
      <w:r>
        <w:rPr>
          <w:bCs/>
          <w:sz w:val="20"/>
          <w:szCs w:val="20"/>
        </w:rPr>
        <w:t>Debt</w:t>
      </w:r>
      <w:r w:rsidRPr="00650313">
        <w:rPr>
          <w:bCs/>
          <w:sz w:val="20"/>
          <w:szCs w:val="20"/>
        </w:rPr>
        <w:t xml:space="preserve"> Settlement is exempt from the valuation requirement of MI 61-101 by virtue of the exemptions contained in section 5.5(b) of MI 61-101 as the </w:t>
      </w:r>
      <w:r>
        <w:rPr>
          <w:bCs/>
          <w:sz w:val="20"/>
          <w:szCs w:val="20"/>
        </w:rPr>
        <w:t>common shares</w:t>
      </w:r>
      <w:r w:rsidRPr="00650313">
        <w:rPr>
          <w:bCs/>
          <w:sz w:val="20"/>
          <w:szCs w:val="20"/>
        </w:rPr>
        <w:t xml:space="preserve"> are not listed on a specified market and from the minority shareholder approval requirements of MI 61-101 by virtue of the exemption contained in section 5.7(1)(a) of MI 61-101 in that the fair market value of the </w:t>
      </w:r>
      <w:r>
        <w:rPr>
          <w:bCs/>
          <w:sz w:val="20"/>
          <w:szCs w:val="20"/>
        </w:rPr>
        <w:t>Debt</w:t>
      </w:r>
      <w:r w:rsidRPr="00650313">
        <w:rPr>
          <w:bCs/>
          <w:sz w:val="20"/>
          <w:szCs w:val="20"/>
        </w:rPr>
        <w:t xml:space="preserve"> Settlement will not exceed 25% of the Company's market capitalization. As the material change report disclosing the </w:t>
      </w:r>
      <w:r>
        <w:rPr>
          <w:bCs/>
          <w:sz w:val="20"/>
          <w:szCs w:val="20"/>
        </w:rPr>
        <w:t>Debt</w:t>
      </w:r>
      <w:r w:rsidRPr="00650313">
        <w:rPr>
          <w:bCs/>
          <w:sz w:val="20"/>
          <w:szCs w:val="20"/>
        </w:rPr>
        <w:t xml:space="preserve"> Settlement is being filed less than 21 days before the transaction, there is a requirement under MI 61‐101 to explain why the shorter period was reasonable or necessary in the circumstances. In the view of the Company, it is necessary to immediately close the </w:t>
      </w:r>
      <w:r>
        <w:rPr>
          <w:bCs/>
          <w:sz w:val="20"/>
          <w:szCs w:val="20"/>
        </w:rPr>
        <w:t>Debt</w:t>
      </w:r>
      <w:r w:rsidRPr="00650313">
        <w:rPr>
          <w:bCs/>
          <w:sz w:val="20"/>
          <w:szCs w:val="20"/>
        </w:rPr>
        <w:t xml:space="preserve"> Settlement and therefore, such shorter period is reasonable and necessary in the circumstances to improve the Company's financial position.</w:t>
      </w:r>
    </w:p>
    <w:p w14:paraId="31FB7754" w14:textId="77777777" w:rsidR="001F152F" w:rsidRDefault="001F152F" w:rsidP="001F152F">
      <w:pPr>
        <w:spacing w:line="276" w:lineRule="auto"/>
        <w:rPr>
          <w:rFonts w:eastAsiaTheme="minorHAnsi"/>
          <w:b/>
          <w:bCs/>
          <w:color w:val="000000" w:themeColor="text1"/>
          <w:sz w:val="20"/>
          <w:szCs w:val="20"/>
          <w:lang w:val="en"/>
        </w:rPr>
      </w:pPr>
    </w:p>
    <w:p w14:paraId="5CA620A0" w14:textId="75FACF9B" w:rsidR="00DC6043" w:rsidRPr="00DC6043" w:rsidRDefault="00DC6043" w:rsidP="001F152F">
      <w:pPr>
        <w:spacing w:line="276" w:lineRule="auto"/>
        <w:rPr>
          <w:rFonts w:eastAsiaTheme="minorHAnsi"/>
          <w:b/>
          <w:bCs/>
          <w:color w:val="000000" w:themeColor="text1"/>
          <w:sz w:val="20"/>
          <w:szCs w:val="20"/>
          <w:lang w:val="en"/>
        </w:rPr>
      </w:pPr>
      <w:r w:rsidRPr="00DC6043">
        <w:rPr>
          <w:rFonts w:eastAsiaTheme="minorHAnsi"/>
          <w:b/>
          <w:bCs/>
          <w:color w:val="000000" w:themeColor="text1"/>
          <w:sz w:val="20"/>
          <w:szCs w:val="20"/>
          <w:lang w:val="en"/>
        </w:rPr>
        <w:t>ABOUT ASEP MEDICAL HOLDINGS INC.</w:t>
      </w:r>
    </w:p>
    <w:p w14:paraId="2A105BF7" w14:textId="77777777" w:rsidR="00CC4318" w:rsidRPr="00BE775D" w:rsidRDefault="00CC4318" w:rsidP="001F152F">
      <w:pPr>
        <w:pStyle w:val="BodyText"/>
        <w:spacing w:before="121" w:line="360" w:lineRule="auto"/>
        <w:rPr>
          <w:rFonts w:eastAsia="Calibri"/>
          <w:sz w:val="20"/>
          <w:szCs w:val="20"/>
        </w:rPr>
      </w:pPr>
      <w:r w:rsidRPr="00BE775D">
        <w:rPr>
          <w:sz w:val="20"/>
          <w:szCs w:val="20"/>
        </w:rPr>
        <w:t>Asep Medical is an investment issuer focused on investing into biotechnology research and development assets and is based in Victoria, BC, Canada. The Company possesses a valuable portfolio of global patents for innovative diagnostic and therapeutic medical technologies.</w:t>
      </w:r>
      <w:r w:rsidRPr="00BE775D">
        <w:rPr>
          <w:spacing w:val="-4"/>
          <w:sz w:val="20"/>
          <w:szCs w:val="20"/>
        </w:rPr>
        <w:t xml:space="preserve"> </w:t>
      </w:r>
      <w:r w:rsidRPr="00BE775D">
        <w:rPr>
          <w:sz w:val="20"/>
          <w:szCs w:val="20"/>
        </w:rPr>
        <w:t>These</w:t>
      </w:r>
      <w:r w:rsidRPr="00BE775D">
        <w:rPr>
          <w:spacing w:val="-3"/>
          <w:sz w:val="20"/>
          <w:szCs w:val="20"/>
        </w:rPr>
        <w:t xml:space="preserve"> </w:t>
      </w:r>
      <w:r w:rsidRPr="00BE775D">
        <w:rPr>
          <w:sz w:val="20"/>
          <w:szCs w:val="20"/>
        </w:rPr>
        <w:t>technologies</w:t>
      </w:r>
      <w:r w:rsidRPr="00BE775D">
        <w:rPr>
          <w:spacing w:val="-2"/>
          <w:sz w:val="20"/>
          <w:szCs w:val="20"/>
        </w:rPr>
        <w:t xml:space="preserve"> </w:t>
      </w:r>
      <w:r w:rsidRPr="00BE775D">
        <w:rPr>
          <w:sz w:val="20"/>
          <w:szCs w:val="20"/>
        </w:rPr>
        <w:t>were</w:t>
      </w:r>
      <w:r w:rsidRPr="00BE775D">
        <w:rPr>
          <w:spacing w:val="-3"/>
          <w:sz w:val="20"/>
          <w:szCs w:val="20"/>
        </w:rPr>
        <w:t xml:space="preserve"> </w:t>
      </w:r>
      <w:r w:rsidRPr="00BE775D">
        <w:rPr>
          <w:sz w:val="20"/>
          <w:szCs w:val="20"/>
        </w:rPr>
        <w:t>developed</w:t>
      </w:r>
      <w:r w:rsidRPr="00BE775D">
        <w:rPr>
          <w:spacing w:val="-4"/>
          <w:sz w:val="20"/>
          <w:szCs w:val="20"/>
        </w:rPr>
        <w:t xml:space="preserve"> </w:t>
      </w:r>
      <w:r w:rsidRPr="00BE775D">
        <w:rPr>
          <w:sz w:val="20"/>
          <w:szCs w:val="20"/>
        </w:rPr>
        <w:t>over</w:t>
      </w:r>
      <w:r w:rsidRPr="00BE775D">
        <w:rPr>
          <w:spacing w:val="-3"/>
          <w:sz w:val="20"/>
          <w:szCs w:val="20"/>
        </w:rPr>
        <w:t xml:space="preserve"> </w:t>
      </w:r>
      <w:r w:rsidRPr="00BE775D">
        <w:rPr>
          <w:sz w:val="20"/>
          <w:szCs w:val="20"/>
        </w:rPr>
        <w:t>the</w:t>
      </w:r>
      <w:r w:rsidRPr="00BE775D">
        <w:rPr>
          <w:spacing w:val="-3"/>
          <w:sz w:val="20"/>
          <w:szCs w:val="20"/>
        </w:rPr>
        <w:t xml:space="preserve"> </w:t>
      </w:r>
      <w:r w:rsidRPr="00BE775D">
        <w:rPr>
          <w:sz w:val="20"/>
          <w:szCs w:val="20"/>
        </w:rPr>
        <w:t>past</w:t>
      </w:r>
      <w:r w:rsidRPr="00BE775D">
        <w:rPr>
          <w:spacing w:val="-5"/>
          <w:sz w:val="20"/>
          <w:szCs w:val="20"/>
        </w:rPr>
        <w:t xml:space="preserve"> </w:t>
      </w:r>
      <w:r w:rsidRPr="00BE775D">
        <w:rPr>
          <w:sz w:val="20"/>
          <w:szCs w:val="20"/>
        </w:rPr>
        <w:t>decade</w:t>
      </w:r>
      <w:r w:rsidRPr="00BE775D">
        <w:rPr>
          <w:spacing w:val="-3"/>
          <w:sz w:val="20"/>
          <w:szCs w:val="20"/>
        </w:rPr>
        <w:t xml:space="preserve"> </w:t>
      </w:r>
      <w:r w:rsidRPr="00BE775D">
        <w:rPr>
          <w:sz w:val="20"/>
          <w:szCs w:val="20"/>
        </w:rPr>
        <w:t>at</w:t>
      </w:r>
      <w:r w:rsidRPr="00BE775D">
        <w:rPr>
          <w:spacing w:val="-6"/>
          <w:sz w:val="20"/>
          <w:szCs w:val="20"/>
        </w:rPr>
        <w:t xml:space="preserve"> </w:t>
      </w:r>
      <w:r w:rsidRPr="00BE775D">
        <w:rPr>
          <w:sz w:val="20"/>
          <w:szCs w:val="20"/>
        </w:rPr>
        <w:t>the</w:t>
      </w:r>
      <w:r w:rsidRPr="00BE775D">
        <w:rPr>
          <w:spacing w:val="-3"/>
          <w:sz w:val="20"/>
          <w:szCs w:val="20"/>
        </w:rPr>
        <w:t xml:space="preserve"> </w:t>
      </w:r>
      <w:r w:rsidRPr="00BE775D">
        <w:rPr>
          <w:sz w:val="20"/>
          <w:szCs w:val="20"/>
        </w:rPr>
        <w:t>University of</w:t>
      </w:r>
      <w:r w:rsidRPr="00BE775D">
        <w:rPr>
          <w:spacing w:val="-5"/>
          <w:sz w:val="20"/>
          <w:szCs w:val="20"/>
        </w:rPr>
        <w:t xml:space="preserve"> </w:t>
      </w:r>
      <w:r w:rsidRPr="00BE775D">
        <w:rPr>
          <w:sz w:val="20"/>
          <w:szCs w:val="20"/>
        </w:rPr>
        <w:t>British</w:t>
      </w:r>
      <w:r w:rsidRPr="00BE775D">
        <w:rPr>
          <w:spacing w:val="-4"/>
          <w:sz w:val="20"/>
          <w:szCs w:val="20"/>
        </w:rPr>
        <w:t xml:space="preserve"> </w:t>
      </w:r>
      <w:r w:rsidRPr="00BE775D">
        <w:rPr>
          <w:sz w:val="20"/>
          <w:szCs w:val="20"/>
        </w:rPr>
        <w:t>Columbia</w:t>
      </w:r>
      <w:r w:rsidRPr="00BE775D">
        <w:rPr>
          <w:spacing w:val="-4"/>
          <w:sz w:val="20"/>
          <w:szCs w:val="20"/>
        </w:rPr>
        <w:t xml:space="preserve"> </w:t>
      </w:r>
      <w:r w:rsidRPr="00BE775D">
        <w:rPr>
          <w:sz w:val="20"/>
          <w:szCs w:val="20"/>
        </w:rPr>
        <w:t xml:space="preserve">under the guidance of Dr. Robert E. W. Hancock, one of the world’s foremost microbiologists. Asep holds a significant interest in two private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w:t>
      </w:r>
      <w:r w:rsidRPr="00BE775D">
        <w:rPr>
          <w:spacing w:val="-2"/>
          <w:sz w:val="20"/>
          <w:szCs w:val="20"/>
        </w:rPr>
        <w:t>investors.</w:t>
      </w:r>
    </w:p>
    <w:p w14:paraId="334418C8" w14:textId="74FEA5BD" w:rsidR="00DC6043" w:rsidRPr="00DC6043" w:rsidRDefault="00DC6043" w:rsidP="001F152F">
      <w:pPr>
        <w:spacing w:line="360" w:lineRule="auto"/>
        <w:rPr>
          <w:rFonts w:eastAsiaTheme="minorHAnsi"/>
          <w:i/>
          <w:iCs/>
          <w:color w:val="000000" w:themeColor="text1"/>
          <w:sz w:val="20"/>
          <w:szCs w:val="20"/>
          <w:lang w:val="en"/>
        </w:rPr>
      </w:pPr>
      <w:r w:rsidRPr="00DC6043">
        <w:rPr>
          <w:rFonts w:eastAsiaTheme="minorHAnsi"/>
          <w:i/>
          <w:iCs/>
          <w:color w:val="000000" w:themeColor="text1"/>
          <w:sz w:val="20"/>
          <w:szCs w:val="20"/>
          <w:lang w:val="en"/>
        </w:rPr>
        <w:t>The CSE has not reviewed and does not accept responsibility for the accuracy or adequacy of this release.</w:t>
      </w:r>
    </w:p>
    <w:p w14:paraId="601BC57C" w14:textId="230A555F" w:rsidR="00FF6A4C" w:rsidRPr="005217A4" w:rsidRDefault="00DC6043" w:rsidP="001F152F">
      <w:pPr>
        <w:spacing w:line="360" w:lineRule="auto"/>
        <w:rPr>
          <w:bCs/>
          <w:sz w:val="20"/>
          <w:szCs w:val="20"/>
        </w:rPr>
      </w:pPr>
      <w:r>
        <w:rPr>
          <w:b/>
          <w:sz w:val="20"/>
          <w:szCs w:val="20"/>
        </w:rPr>
        <w:br w:type="page"/>
      </w:r>
      <w:r w:rsidR="00FF6A4C" w:rsidRPr="005217A4">
        <w:rPr>
          <w:b/>
          <w:sz w:val="20"/>
          <w:szCs w:val="20"/>
        </w:rPr>
        <w:lastRenderedPageBreak/>
        <w:t>FOR MORE INFORMATION, PLEASE CONTACT —</w:t>
      </w:r>
      <w:r w:rsidR="008302FD">
        <w:rPr>
          <w:b/>
          <w:sz w:val="20"/>
          <w:szCs w:val="20"/>
        </w:rPr>
        <w:br/>
      </w:r>
      <w:r w:rsidR="00FF6A4C" w:rsidRPr="005217A4">
        <w:rPr>
          <w:bCs/>
          <w:sz w:val="20"/>
          <w:szCs w:val="20"/>
        </w:rPr>
        <w:t>Chris Dallin, Marketing Director</w:t>
      </w:r>
      <w:r w:rsidR="005217A4">
        <w:rPr>
          <w:bCs/>
          <w:sz w:val="20"/>
          <w:szCs w:val="20"/>
        </w:rPr>
        <w:br/>
      </w:r>
      <w:r w:rsidR="00FF6A4C" w:rsidRPr="005217A4">
        <w:rPr>
          <w:bCs/>
          <w:sz w:val="20"/>
          <w:szCs w:val="20"/>
        </w:rPr>
        <w:t>ASEP Medical Holdings Inc.</w:t>
      </w:r>
      <w:r w:rsidR="005217A4">
        <w:rPr>
          <w:bCs/>
          <w:sz w:val="20"/>
          <w:szCs w:val="20"/>
        </w:rPr>
        <w:br/>
      </w:r>
      <w:r w:rsidR="00FF6A4C" w:rsidRPr="005217A4">
        <w:rPr>
          <w:bCs/>
          <w:sz w:val="20"/>
          <w:szCs w:val="20"/>
        </w:rPr>
        <w:t xml:space="preserve">E. </w:t>
      </w:r>
      <w:hyperlink r:id="rId8" w:history="1">
        <w:r w:rsidR="005217A4" w:rsidRPr="00076D32">
          <w:rPr>
            <w:rStyle w:val="Hyperlink"/>
            <w:bCs/>
            <w:sz w:val="20"/>
            <w:szCs w:val="20"/>
          </w:rPr>
          <w:t>chris@asepmedical.com</w:t>
        </w:r>
      </w:hyperlink>
      <w:r w:rsidR="005217A4">
        <w:rPr>
          <w:bCs/>
          <w:sz w:val="20"/>
          <w:szCs w:val="20"/>
        </w:rPr>
        <w:br/>
      </w:r>
      <w:r w:rsidR="00FF6A4C" w:rsidRPr="005217A4">
        <w:rPr>
          <w:bCs/>
          <w:sz w:val="20"/>
          <w:szCs w:val="20"/>
        </w:rPr>
        <w:t>T. +1 (604) 362-3654</w:t>
      </w:r>
    </w:p>
    <w:p w14:paraId="6388E0BF" w14:textId="77777777" w:rsidR="001F152F" w:rsidRDefault="001F152F" w:rsidP="001F152F">
      <w:pPr>
        <w:spacing w:line="360" w:lineRule="auto"/>
        <w:rPr>
          <w:rFonts w:eastAsiaTheme="minorHAnsi"/>
          <w:b/>
          <w:bCs/>
          <w:color w:val="000000" w:themeColor="text1"/>
          <w:lang w:val="en"/>
        </w:rPr>
      </w:pPr>
    </w:p>
    <w:p w14:paraId="1F8B866F" w14:textId="602AC308" w:rsidR="00DC6043" w:rsidRPr="006B5418" w:rsidRDefault="00DC6043" w:rsidP="001F152F">
      <w:pPr>
        <w:spacing w:line="360" w:lineRule="auto"/>
        <w:rPr>
          <w:rFonts w:eastAsiaTheme="minorHAnsi"/>
          <w:b/>
          <w:bCs/>
          <w:color w:val="000000" w:themeColor="text1"/>
          <w:lang w:val="en"/>
        </w:rPr>
      </w:pPr>
      <w:r w:rsidRPr="006B5418">
        <w:rPr>
          <w:rFonts w:eastAsiaTheme="minorHAnsi"/>
          <w:b/>
          <w:bCs/>
          <w:color w:val="000000" w:themeColor="text1"/>
          <w:lang w:val="en"/>
        </w:rPr>
        <w:t>FORWARD-LOOKING STATEMENTS</w:t>
      </w:r>
    </w:p>
    <w:p w14:paraId="46B11482" w14:textId="77777777" w:rsidR="00DC6043" w:rsidRPr="00DC6043" w:rsidRDefault="00DC6043" w:rsidP="001F152F">
      <w:pPr>
        <w:spacing w:line="360" w:lineRule="auto"/>
        <w:rPr>
          <w:rFonts w:eastAsiaTheme="minorHAnsi"/>
          <w:color w:val="000000" w:themeColor="text1"/>
          <w:sz w:val="20"/>
          <w:szCs w:val="20"/>
          <w:lang w:val="en"/>
        </w:rPr>
      </w:pPr>
      <w:r w:rsidRPr="00DC6043">
        <w:rPr>
          <w:rFonts w:eastAsiaTheme="minorHAnsi"/>
          <w:color w:val="000000" w:themeColor="text1"/>
          <w:sz w:val="20"/>
          <w:szCs w:val="20"/>
          <w:lang w:val="en"/>
        </w:rPr>
        <w:t>This news release contains certain “forward-looking statements” within the meaning of such statements under applicable securities law. Forward-looking statements are frequently characterized by words such as “anticipates,” “plans,” “continues,” “expects,” “projects,” “intends,” “believes,” “estimates,” “may,” “will,” “potential,” “proposed,” “positioned” and other similar words, or statements that certain events or conditions “may” or “will” occur. These statements include, but are not limited to, the successful execution of the Company’s business plan, the development, testing, and commercialization of its sepsis diagnostic test (Sepset), and other statements regarding the Company’s proposed business plans and technologies. Various assumptions were used in drawing conclusions or making the predictions contained in the forward-looking statements throughout this news release. Forward-looking statements are based on the opinions and estimates of management at the date the statements are made and are subject to a variety of risks, including the risk that the Company’s products may not perform as expected, may not receive regulatory approvals, or may not generate revenue as anticipated. Additional risk actors are identified in the Asep Medical Holdings Inc. prospectus dated November 9, 2021, and in the Company’s management discussion and analysis, available for review under the Company’s profile at www.sedarplus.ca. Asep Medical Holdings Inc. undertakes no obligation to update or revise any forward-looking statements, except as</w:t>
      </w:r>
    </w:p>
    <w:p w14:paraId="126CA44F" w14:textId="77777777" w:rsidR="00DC6043" w:rsidRPr="00DC6043" w:rsidRDefault="00DC6043" w:rsidP="001F152F">
      <w:pPr>
        <w:spacing w:line="360" w:lineRule="auto"/>
        <w:rPr>
          <w:sz w:val="20"/>
          <w:szCs w:val="20"/>
        </w:rPr>
      </w:pPr>
      <w:r w:rsidRPr="00DC6043">
        <w:rPr>
          <w:rFonts w:eastAsiaTheme="minorHAnsi"/>
          <w:color w:val="000000" w:themeColor="text1"/>
          <w:sz w:val="20"/>
          <w:szCs w:val="20"/>
          <w:lang w:val="en"/>
        </w:rPr>
        <w:t>required by applicable law.</w:t>
      </w:r>
    </w:p>
    <w:p w14:paraId="24742102" w14:textId="2E4479F8" w:rsidR="00FF6A4C" w:rsidRPr="00DC6043" w:rsidRDefault="00FF6A4C" w:rsidP="00DC6043">
      <w:pPr>
        <w:spacing w:before="240" w:line="360" w:lineRule="auto"/>
        <w:rPr>
          <w:bCs/>
          <w:sz w:val="20"/>
          <w:szCs w:val="20"/>
        </w:rPr>
      </w:pPr>
    </w:p>
    <w:sectPr w:rsidR="00FF6A4C" w:rsidRPr="00DC6043" w:rsidSect="006E111B">
      <w:headerReference w:type="default" r:id="rId9"/>
      <w:footerReference w:type="even" r:id="rId10"/>
      <w:footerReference w:type="default" r:id="rId11"/>
      <w:pgSz w:w="12240" w:h="15840"/>
      <w:pgMar w:top="2694" w:right="1440" w:bottom="1440" w:left="1440" w:header="2160"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BBF08" w14:textId="77777777" w:rsidR="00D303F0" w:rsidRDefault="00D303F0">
      <w:r>
        <w:separator/>
      </w:r>
    </w:p>
  </w:endnote>
  <w:endnote w:type="continuationSeparator" w:id="0">
    <w:p w14:paraId="03767449" w14:textId="77777777" w:rsidR="00D303F0" w:rsidRDefault="00D303F0">
      <w:r>
        <w:continuationSeparator/>
      </w:r>
    </w:p>
  </w:endnote>
  <w:endnote w:type="continuationNotice" w:id="1">
    <w:p w14:paraId="2BF3DB12" w14:textId="77777777" w:rsidR="00D303F0" w:rsidRDefault="00D30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5B8EFD" w14:textId="77777777" w:rsidR="00441EC2" w:rsidRDefault="001448F3">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1089788C"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AC5AF" w14:textId="4EB9442A" w:rsidR="00441EC2" w:rsidRPr="008D0239" w:rsidRDefault="001448F3">
    <w:pPr>
      <w:pBdr>
        <w:top w:val="nil"/>
        <w:left w:val="nil"/>
        <w:bottom w:val="nil"/>
        <w:right w:val="nil"/>
        <w:between w:val="nil"/>
      </w:pBdr>
      <w:tabs>
        <w:tab w:val="center" w:pos="4680"/>
        <w:tab w:val="right" w:pos="9360"/>
      </w:tabs>
      <w:jc w:val="right"/>
      <w:rPr>
        <w:rFonts w:eastAsia="Calibri"/>
        <w:color w:val="000000"/>
        <w:sz w:val="16"/>
        <w:szCs w:val="16"/>
      </w:rPr>
    </w:pPr>
    <w:r w:rsidRPr="008D0239">
      <w:rPr>
        <w:rFonts w:eastAsia="Calibri"/>
        <w:color w:val="000000"/>
        <w:sz w:val="16"/>
        <w:szCs w:val="16"/>
      </w:rPr>
      <w:fldChar w:fldCharType="begin"/>
    </w:r>
    <w:r w:rsidRPr="00E50ABB">
      <w:rPr>
        <w:rFonts w:eastAsia="Calibri"/>
        <w:color w:val="000000"/>
        <w:sz w:val="16"/>
        <w:szCs w:val="16"/>
      </w:rPr>
      <w:instrText>PAGE</w:instrText>
    </w:r>
    <w:r w:rsidRPr="008D0239">
      <w:rPr>
        <w:rFonts w:eastAsia="Calibri"/>
        <w:color w:val="000000"/>
        <w:sz w:val="16"/>
        <w:szCs w:val="16"/>
      </w:rPr>
      <w:fldChar w:fldCharType="separate"/>
    </w:r>
    <w:r w:rsidR="000860ED">
      <w:rPr>
        <w:rFonts w:eastAsia="Calibri"/>
        <w:noProof/>
        <w:color w:val="000000"/>
        <w:sz w:val="16"/>
        <w:szCs w:val="16"/>
      </w:rPr>
      <w:t>2</w:t>
    </w:r>
    <w:r w:rsidRPr="008D0239">
      <w:rPr>
        <w:rFonts w:eastAsia="Calibri"/>
        <w:color w:val="000000"/>
        <w:sz w:val="16"/>
        <w:szCs w:val="16"/>
      </w:rPr>
      <w:fldChar w:fldCharType="end"/>
    </w:r>
  </w:p>
  <w:p w14:paraId="3BBEBFB0"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149906" w14:textId="77777777" w:rsidR="00D303F0" w:rsidRDefault="00D303F0">
      <w:r>
        <w:separator/>
      </w:r>
    </w:p>
  </w:footnote>
  <w:footnote w:type="continuationSeparator" w:id="0">
    <w:p w14:paraId="3811E274" w14:textId="77777777" w:rsidR="00D303F0" w:rsidRDefault="00D303F0">
      <w:r>
        <w:continuationSeparator/>
      </w:r>
    </w:p>
  </w:footnote>
  <w:footnote w:type="continuationNotice" w:id="1">
    <w:p w14:paraId="47EBA5D7" w14:textId="77777777" w:rsidR="00D303F0" w:rsidRDefault="00D303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252FD" w14:textId="7B139F37" w:rsidR="001C45D2" w:rsidRDefault="001448F3">
    <w:pPr>
      <w:pBdr>
        <w:top w:val="nil"/>
        <w:left w:val="nil"/>
        <w:bottom w:val="nil"/>
        <w:right w:val="nil"/>
        <w:between w:val="nil"/>
      </w:pBdr>
      <w:tabs>
        <w:tab w:val="center" w:pos="4680"/>
        <w:tab w:val="right" w:pos="9360"/>
      </w:tabs>
      <w:jc w:val="center"/>
      <w:rPr>
        <w:rFonts w:eastAsia="Calibri"/>
        <w:color w:val="595959"/>
        <w:sz w:val="20"/>
        <w:szCs w:val="20"/>
      </w:rPr>
    </w:pPr>
    <w:r>
      <w:rPr>
        <w:rFonts w:ascii="Helvetica Neue" w:eastAsia="Helvetica Neue" w:hAnsi="Helvetica Neue" w:cs="Helvetica Neue"/>
        <w:color w:val="595959"/>
        <w:sz w:val="20"/>
        <w:szCs w:val="20"/>
      </w:rPr>
      <w:t>Asep Medical Holdings Inc</w:t>
    </w:r>
    <w:r>
      <w:rPr>
        <w:rFonts w:eastAsia="Calibri"/>
        <w:color w:val="595959"/>
        <w:sz w:val="20"/>
        <w:szCs w:val="20"/>
      </w:rPr>
      <w:t>.</w:t>
    </w:r>
  </w:p>
  <w:p w14:paraId="73A58E2F" w14:textId="0B8D46DF" w:rsidR="00441EC2" w:rsidRPr="004229C4" w:rsidRDefault="001448F3">
    <w:pPr>
      <w:pBdr>
        <w:top w:val="nil"/>
        <w:left w:val="nil"/>
        <w:bottom w:val="nil"/>
        <w:right w:val="nil"/>
        <w:between w:val="nil"/>
      </w:pBdr>
      <w:tabs>
        <w:tab w:val="center" w:pos="4680"/>
        <w:tab w:val="right" w:pos="9360"/>
      </w:tabs>
      <w:jc w:val="center"/>
      <w:rPr>
        <w:rFonts w:eastAsia="Calibri"/>
        <w:b/>
        <w:bCs/>
        <w:i/>
        <w:iCs/>
        <w:color w:val="000000"/>
        <w:sz w:val="20"/>
        <w:szCs w:val="20"/>
      </w:rPr>
    </w:pPr>
    <w:r w:rsidRPr="004229C4">
      <w:rPr>
        <w:b/>
        <w:bCs/>
        <w:i/>
        <w:iCs/>
        <w:noProof/>
        <w:lang w:eastAsia="en-CA"/>
      </w:rPr>
      <w:drawing>
        <wp:anchor distT="0" distB="0" distL="114300" distR="114300" simplePos="0" relativeHeight="251657216" behindDoc="0" locked="0" layoutInCell="1" hidden="0" allowOverlap="1" wp14:anchorId="0B7FB55F" wp14:editId="3D5DB9C1">
          <wp:simplePos x="0" y="0"/>
          <wp:positionH relativeFrom="column">
            <wp:posOffset>2179954</wp:posOffset>
          </wp:positionH>
          <wp:positionV relativeFrom="paragraph">
            <wp:posOffset>-955038</wp:posOffset>
          </wp:positionV>
          <wp:extent cx="1347470" cy="768350"/>
          <wp:effectExtent l="0" t="0" r="0" b="0"/>
          <wp:wrapSquare wrapText="bothSides" distT="0" distB="0" distL="114300" distR="114300"/>
          <wp:docPr id="6" name="Picture 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1"/>
                  <a:srcRect/>
                  <a:stretch>
                    <a:fillRect/>
                  </a:stretch>
                </pic:blipFill>
                <pic:spPr>
                  <a:xfrm>
                    <a:off x="0" y="0"/>
                    <a:ext cx="1347470" cy="768350"/>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C2"/>
    <w:rsid w:val="000005DB"/>
    <w:rsid w:val="0000558A"/>
    <w:rsid w:val="00036098"/>
    <w:rsid w:val="000466BB"/>
    <w:rsid w:val="000618B4"/>
    <w:rsid w:val="00073C45"/>
    <w:rsid w:val="00074051"/>
    <w:rsid w:val="00075101"/>
    <w:rsid w:val="00085AAA"/>
    <w:rsid w:val="000860ED"/>
    <w:rsid w:val="000A0C1E"/>
    <w:rsid w:val="000A76D3"/>
    <w:rsid w:val="000A7B6F"/>
    <w:rsid w:val="000C369E"/>
    <w:rsid w:val="000C38D5"/>
    <w:rsid w:val="000D164A"/>
    <w:rsid w:val="00114B89"/>
    <w:rsid w:val="00123D99"/>
    <w:rsid w:val="00133EE5"/>
    <w:rsid w:val="001448F3"/>
    <w:rsid w:val="00146BCA"/>
    <w:rsid w:val="00152092"/>
    <w:rsid w:val="0016018F"/>
    <w:rsid w:val="00161B3A"/>
    <w:rsid w:val="001A120E"/>
    <w:rsid w:val="001B00BC"/>
    <w:rsid w:val="001B0A83"/>
    <w:rsid w:val="001B4EBC"/>
    <w:rsid w:val="001B5453"/>
    <w:rsid w:val="001B7678"/>
    <w:rsid w:val="001B7BD2"/>
    <w:rsid w:val="001C391F"/>
    <w:rsid w:val="001C45D2"/>
    <w:rsid w:val="001D4A5F"/>
    <w:rsid w:val="001E6990"/>
    <w:rsid w:val="001F152F"/>
    <w:rsid w:val="001F742F"/>
    <w:rsid w:val="002035A2"/>
    <w:rsid w:val="00212778"/>
    <w:rsid w:val="00233892"/>
    <w:rsid w:val="0023439B"/>
    <w:rsid w:val="002367D5"/>
    <w:rsid w:val="00236E67"/>
    <w:rsid w:val="00237509"/>
    <w:rsid w:val="00241437"/>
    <w:rsid w:val="00246A9B"/>
    <w:rsid w:val="002628E1"/>
    <w:rsid w:val="00287A23"/>
    <w:rsid w:val="0029356B"/>
    <w:rsid w:val="00297E33"/>
    <w:rsid w:val="002A33D2"/>
    <w:rsid w:val="002D4C51"/>
    <w:rsid w:val="002E08AC"/>
    <w:rsid w:val="002E21D9"/>
    <w:rsid w:val="002E4EA6"/>
    <w:rsid w:val="00307628"/>
    <w:rsid w:val="00332D44"/>
    <w:rsid w:val="003606AC"/>
    <w:rsid w:val="003776B3"/>
    <w:rsid w:val="0038437B"/>
    <w:rsid w:val="003855A1"/>
    <w:rsid w:val="00387689"/>
    <w:rsid w:val="00395B69"/>
    <w:rsid w:val="003A4241"/>
    <w:rsid w:val="003A4B2A"/>
    <w:rsid w:val="003B3CB6"/>
    <w:rsid w:val="003B3E64"/>
    <w:rsid w:val="003C4EF7"/>
    <w:rsid w:val="003C5888"/>
    <w:rsid w:val="003D06B1"/>
    <w:rsid w:val="003E09A3"/>
    <w:rsid w:val="003F3492"/>
    <w:rsid w:val="003F70BB"/>
    <w:rsid w:val="00402B47"/>
    <w:rsid w:val="00405039"/>
    <w:rsid w:val="004075D3"/>
    <w:rsid w:val="004115A9"/>
    <w:rsid w:val="004229C4"/>
    <w:rsid w:val="00432E8E"/>
    <w:rsid w:val="00440B42"/>
    <w:rsid w:val="00441EC2"/>
    <w:rsid w:val="004546E5"/>
    <w:rsid w:val="00461AA9"/>
    <w:rsid w:val="0046551E"/>
    <w:rsid w:val="004668CB"/>
    <w:rsid w:val="00470224"/>
    <w:rsid w:val="00476A63"/>
    <w:rsid w:val="004974B0"/>
    <w:rsid w:val="00497EC7"/>
    <w:rsid w:val="004A34F0"/>
    <w:rsid w:val="004A58A6"/>
    <w:rsid w:val="004A5E2B"/>
    <w:rsid w:val="004A61EB"/>
    <w:rsid w:val="004C2223"/>
    <w:rsid w:val="004C79FA"/>
    <w:rsid w:val="004C7E98"/>
    <w:rsid w:val="004E7C70"/>
    <w:rsid w:val="004F0907"/>
    <w:rsid w:val="004F5DA2"/>
    <w:rsid w:val="005217A4"/>
    <w:rsid w:val="00534F18"/>
    <w:rsid w:val="00583689"/>
    <w:rsid w:val="0059615C"/>
    <w:rsid w:val="005A3802"/>
    <w:rsid w:val="005A7E3E"/>
    <w:rsid w:val="005B07F0"/>
    <w:rsid w:val="005C51E6"/>
    <w:rsid w:val="005C6566"/>
    <w:rsid w:val="005D6B93"/>
    <w:rsid w:val="005E6BB7"/>
    <w:rsid w:val="00602C61"/>
    <w:rsid w:val="00605D01"/>
    <w:rsid w:val="00622F22"/>
    <w:rsid w:val="0062525A"/>
    <w:rsid w:val="00632076"/>
    <w:rsid w:val="00633E9B"/>
    <w:rsid w:val="006340C7"/>
    <w:rsid w:val="00634671"/>
    <w:rsid w:val="00635D2F"/>
    <w:rsid w:val="00636F38"/>
    <w:rsid w:val="00637B34"/>
    <w:rsid w:val="00637C2F"/>
    <w:rsid w:val="00650313"/>
    <w:rsid w:val="00651EBE"/>
    <w:rsid w:val="006632C2"/>
    <w:rsid w:val="00671481"/>
    <w:rsid w:val="0068082C"/>
    <w:rsid w:val="00680D8D"/>
    <w:rsid w:val="00686C6E"/>
    <w:rsid w:val="00696678"/>
    <w:rsid w:val="006C381C"/>
    <w:rsid w:val="006D7567"/>
    <w:rsid w:val="006E097E"/>
    <w:rsid w:val="006E111B"/>
    <w:rsid w:val="006F73A4"/>
    <w:rsid w:val="00703E3A"/>
    <w:rsid w:val="00705A88"/>
    <w:rsid w:val="00713BAD"/>
    <w:rsid w:val="00720E7B"/>
    <w:rsid w:val="00722C1B"/>
    <w:rsid w:val="00745A5C"/>
    <w:rsid w:val="007503DD"/>
    <w:rsid w:val="00751E67"/>
    <w:rsid w:val="00790C86"/>
    <w:rsid w:val="007A63B7"/>
    <w:rsid w:val="007B327A"/>
    <w:rsid w:val="007C1C82"/>
    <w:rsid w:val="007C5C11"/>
    <w:rsid w:val="007C6EFD"/>
    <w:rsid w:val="007F1F30"/>
    <w:rsid w:val="00806A0E"/>
    <w:rsid w:val="00812701"/>
    <w:rsid w:val="00817020"/>
    <w:rsid w:val="00827385"/>
    <w:rsid w:val="008302FD"/>
    <w:rsid w:val="00835BF7"/>
    <w:rsid w:val="00836511"/>
    <w:rsid w:val="00872594"/>
    <w:rsid w:val="0087588D"/>
    <w:rsid w:val="008830EB"/>
    <w:rsid w:val="00895A6D"/>
    <w:rsid w:val="008979D2"/>
    <w:rsid w:val="008A12E2"/>
    <w:rsid w:val="008A193E"/>
    <w:rsid w:val="008A3669"/>
    <w:rsid w:val="008B138F"/>
    <w:rsid w:val="008C4415"/>
    <w:rsid w:val="008C4468"/>
    <w:rsid w:val="008D0239"/>
    <w:rsid w:val="008D0886"/>
    <w:rsid w:val="008D3DB1"/>
    <w:rsid w:val="008E0F4F"/>
    <w:rsid w:val="008E3B05"/>
    <w:rsid w:val="008E701C"/>
    <w:rsid w:val="008F4B9E"/>
    <w:rsid w:val="00901ECF"/>
    <w:rsid w:val="00917686"/>
    <w:rsid w:val="00921300"/>
    <w:rsid w:val="009225B3"/>
    <w:rsid w:val="00957C0C"/>
    <w:rsid w:val="009700EC"/>
    <w:rsid w:val="00971888"/>
    <w:rsid w:val="0097785C"/>
    <w:rsid w:val="00977DF6"/>
    <w:rsid w:val="00983DCE"/>
    <w:rsid w:val="009853F4"/>
    <w:rsid w:val="009872C6"/>
    <w:rsid w:val="009A5C58"/>
    <w:rsid w:val="009A6A86"/>
    <w:rsid w:val="009B18C7"/>
    <w:rsid w:val="009B1D87"/>
    <w:rsid w:val="009B2CD4"/>
    <w:rsid w:val="009F5337"/>
    <w:rsid w:val="00A10743"/>
    <w:rsid w:val="00A16B21"/>
    <w:rsid w:val="00A214B3"/>
    <w:rsid w:val="00A22FC2"/>
    <w:rsid w:val="00A458AB"/>
    <w:rsid w:val="00A71557"/>
    <w:rsid w:val="00A74563"/>
    <w:rsid w:val="00A95584"/>
    <w:rsid w:val="00A96DD5"/>
    <w:rsid w:val="00AA3A2C"/>
    <w:rsid w:val="00AB296E"/>
    <w:rsid w:val="00AC319C"/>
    <w:rsid w:val="00AD452A"/>
    <w:rsid w:val="00AD5159"/>
    <w:rsid w:val="00AE3130"/>
    <w:rsid w:val="00AE7B59"/>
    <w:rsid w:val="00B022F5"/>
    <w:rsid w:val="00B3168C"/>
    <w:rsid w:val="00B33E86"/>
    <w:rsid w:val="00B3611A"/>
    <w:rsid w:val="00B56B7F"/>
    <w:rsid w:val="00B64F06"/>
    <w:rsid w:val="00B71D3A"/>
    <w:rsid w:val="00BB6168"/>
    <w:rsid w:val="00BC67AE"/>
    <w:rsid w:val="00BD0DC3"/>
    <w:rsid w:val="00BD4F4D"/>
    <w:rsid w:val="00BD6FC6"/>
    <w:rsid w:val="00BE50F2"/>
    <w:rsid w:val="00BE775D"/>
    <w:rsid w:val="00C03185"/>
    <w:rsid w:val="00C13F11"/>
    <w:rsid w:val="00C26AD7"/>
    <w:rsid w:val="00C45FFC"/>
    <w:rsid w:val="00C55040"/>
    <w:rsid w:val="00C555FD"/>
    <w:rsid w:val="00C56674"/>
    <w:rsid w:val="00C67A6A"/>
    <w:rsid w:val="00C7275C"/>
    <w:rsid w:val="00C940D3"/>
    <w:rsid w:val="00CB702C"/>
    <w:rsid w:val="00CC4318"/>
    <w:rsid w:val="00CC7E26"/>
    <w:rsid w:val="00CD35BF"/>
    <w:rsid w:val="00CE3E2D"/>
    <w:rsid w:val="00CE7B23"/>
    <w:rsid w:val="00D0246D"/>
    <w:rsid w:val="00D04E95"/>
    <w:rsid w:val="00D057CB"/>
    <w:rsid w:val="00D248F1"/>
    <w:rsid w:val="00D27B8F"/>
    <w:rsid w:val="00D303F0"/>
    <w:rsid w:val="00D60222"/>
    <w:rsid w:val="00D6254B"/>
    <w:rsid w:val="00D74523"/>
    <w:rsid w:val="00D74B73"/>
    <w:rsid w:val="00D961AA"/>
    <w:rsid w:val="00DA0D96"/>
    <w:rsid w:val="00DC357D"/>
    <w:rsid w:val="00DC5A2E"/>
    <w:rsid w:val="00DC6043"/>
    <w:rsid w:val="00DD189D"/>
    <w:rsid w:val="00DD33D2"/>
    <w:rsid w:val="00DD5EA6"/>
    <w:rsid w:val="00DD6A10"/>
    <w:rsid w:val="00DD70C5"/>
    <w:rsid w:val="00DF350E"/>
    <w:rsid w:val="00DF510D"/>
    <w:rsid w:val="00DF5E2B"/>
    <w:rsid w:val="00DF6A5C"/>
    <w:rsid w:val="00E03A4B"/>
    <w:rsid w:val="00E07947"/>
    <w:rsid w:val="00E23489"/>
    <w:rsid w:val="00E23807"/>
    <w:rsid w:val="00E23E19"/>
    <w:rsid w:val="00E25797"/>
    <w:rsid w:val="00E30391"/>
    <w:rsid w:val="00E359E9"/>
    <w:rsid w:val="00E40E42"/>
    <w:rsid w:val="00E42BF5"/>
    <w:rsid w:val="00E45A10"/>
    <w:rsid w:val="00E45A85"/>
    <w:rsid w:val="00E466C8"/>
    <w:rsid w:val="00E46F1E"/>
    <w:rsid w:val="00E50ABB"/>
    <w:rsid w:val="00E5484F"/>
    <w:rsid w:val="00E561B3"/>
    <w:rsid w:val="00E67E53"/>
    <w:rsid w:val="00E7492A"/>
    <w:rsid w:val="00E750DA"/>
    <w:rsid w:val="00E760B5"/>
    <w:rsid w:val="00E82E2D"/>
    <w:rsid w:val="00E8425A"/>
    <w:rsid w:val="00E860FF"/>
    <w:rsid w:val="00E96921"/>
    <w:rsid w:val="00EA1616"/>
    <w:rsid w:val="00EA235C"/>
    <w:rsid w:val="00EB289C"/>
    <w:rsid w:val="00EC12DD"/>
    <w:rsid w:val="00EE1C82"/>
    <w:rsid w:val="00EE6A08"/>
    <w:rsid w:val="00EF38DF"/>
    <w:rsid w:val="00EF7A39"/>
    <w:rsid w:val="00F406B1"/>
    <w:rsid w:val="00F42712"/>
    <w:rsid w:val="00F506E4"/>
    <w:rsid w:val="00F563CB"/>
    <w:rsid w:val="00F62EE5"/>
    <w:rsid w:val="00F70279"/>
    <w:rsid w:val="00F8755A"/>
    <w:rsid w:val="00FA3D79"/>
    <w:rsid w:val="00FB2064"/>
    <w:rsid w:val="00FB2F76"/>
    <w:rsid w:val="00FC4217"/>
    <w:rsid w:val="00FD3E28"/>
    <w:rsid w:val="00FF1EB6"/>
    <w:rsid w:val="00FF6A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B1BB"/>
  <w15:docId w15:val="{19899781-FDB1-FD48-B7AC-5B6C243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31F5C"/>
    <w:pPr>
      <w:tabs>
        <w:tab w:val="center" w:pos="4680"/>
        <w:tab w:val="right" w:pos="9360"/>
      </w:tabs>
    </w:pPr>
  </w:style>
  <w:style w:type="character" w:customStyle="1" w:styleId="HeaderChar">
    <w:name w:val="Header Char"/>
    <w:basedOn w:val="DefaultParagraphFont"/>
    <w:link w:val="Header"/>
    <w:uiPriority w:val="99"/>
    <w:rsid w:val="00531F5C"/>
  </w:style>
  <w:style w:type="paragraph" w:styleId="Footer">
    <w:name w:val="footer"/>
    <w:basedOn w:val="Normal"/>
    <w:link w:val="FooterChar"/>
    <w:uiPriority w:val="99"/>
    <w:unhideWhenUsed/>
    <w:rsid w:val="00531F5C"/>
    <w:pPr>
      <w:tabs>
        <w:tab w:val="center" w:pos="4680"/>
        <w:tab w:val="right" w:pos="9360"/>
      </w:tabs>
    </w:pPr>
  </w:style>
  <w:style w:type="character" w:customStyle="1" w:styleId="FooterChar">
    <w:name w:val="Footer Char"/>
    <w:basedOn w:val="DefaultParagraphFont"/>
    <w:link w:val="Footer"/>
    <w:uiPriority w:val="99"/>
    <w:rsid w:val="00531F5C"/>
  </w:style>
  <w:style w:type="paragraph" w:styleId="NormalWeb">
    <w:name w:val="Normal (Web)"/>
    <w:basedOn w:val="Normal"/>
    <w:uiPriority w:val="99"/>
    <w:unhideWhenUsed/>
    <w:rsid w:val="00531F5C"/>
    <w:pPr>
      <w:spacing w:before="100" w:beforeAutospacing="1" w:after="100" w:afterAutospacing="1"/>
    </w:pPr>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531F5C"/>
  </w:style>
  <w:style w:type="character" w:styleId="CommentReference">
    <w:name w:val="annotation reference"/>
    <w:basedOn w:val="DefaultParagraphFont"/>
    <w:uiPriority w:val="99"/>
    <w:semiHidden/>
    <w:unhideWhenUsed/>
    <w:rsid w:val="00181FE2"/>
    <w:rPr>
      <w:sz w:val="16"/>
      <w:szCs w:val="16"/>
    </w:rPr>
  </w:style>
  <w:style w:type="paragraph" w:styleId="CommentText">
    <w:name w:val="annotation text"/>
    <w:basedOn w:val="Normal"/>
    <w:link w:val="CommentTextChar"/>
    <w:uiPriority w:val="99"/>
    <w:unhideWhenUsed/>
    <w:rsid w:val="00181FE2"/>
    <w:pPr>
      <w:widowControl w:val="0"/>
    </w:pPr>
    <w:rPr>
      <w:rFonts w:eastAsia="Times New Roman" w:cs="Times New Roman"/>
      <w:snapToGrid w:val="0"/>
      <w:sz w:val="20"/>
      <w:szCs w:val="20"/>
      <w:lang w:val="en-US"/>
    </w:rPr>
  </w:style>
  <w:style w:type="character" w:customStyle="1" w:styleId="CommentTextChar">
    <w:name w:val="Comment Text Char"/>
    <w:basedOn w:val="DefaultParagraphFont"/>
    <w:link w:val="CommentText"/>
    <w:uiPriority w:val="99"/>
    <w:rsid w:val="00181FE2"/>
    <w:rPr>
      <w:rFonts w:eastAsia="Times New Roman" w:cs="Times New Roman"/>
      <w:snapToGrid w:val="0"/>
      <w:sz w:val="20"/>
      <w:szCs w:val="20"/>
      <w:lang w:val="en-US"/>
    </w:rPr>
  </w:style>
  <w:style w:type="paragraph" w:styleId="NoSpacing">
    <w:name w:val="No Spacing"/>
    <w:uiPriority w:val="1"/>
    <w:qFormat/>
    <w:rsid w:val="00FF59C4"/>
    <w:rPr>
      <w:rFonts w:eastAsiaTheme="minorEastAsia"/>
    </w:rPr>
  </w:style>
  <w:style w:type="character" w:styleId="Hyperlink">
    <w:name w:val="Hyperlink"/>
    <w:basedOn w:val="DefaultParagraphFont"/>
    <w:uiPriority w:val="99"/>
    <w:unhideWhenUsed/>
    <w:rsid w:val="002B7F34"/>
    <w:rPr>
      <w:color w:val="0563C1" w:themeColor="hyperlink"/>
      <w:u w:val="single"/>
    </w:rPr>
  </w:style>
  <w:style w:type="character" w:customStyle="1" w:styleId="UnresolvedMention1">
    <w:name w:val="Unresolved Mention1"/>
    <w:basedOn w:val="DefaultParagraphFont"/>
    <w:uiPriority w:val="99"/>
    <w:semiHidden/>
    <w:unhideWhenUsed/>
    <w:rsid w:val="002B7F34"/>
    <w:rPr>
      <w:color w:val="605E5C"/>
      <w:shd w:val="clear" w:color="auto" w:fill="E1DFDD"/>
    </w:rPr>
  </w:style>
  <w:style w:type="character" w:styleId="FollowedHyperlink">
    <w:name w:val="FollowedHyperlink"/>
    <w:basedOn w:val="DefaultParagraphFont"/>
    <w:uiPriority w:val="99"/>
    <w:semiHidden/>
    <w:unhideWhenUsed/>
    <w:rsid w:val="005A593A"/>
    <w:rPr>
      <w:color w:val="954F72" w:themeColor="followedHyperlink"/>
      <w:u w:val="single"/>
    </w:rPr>
  </w:style>
  <w:style w:type="paragraph" w:styleId="Revision">
    <w:name w:val="Revision"/>
    <w:hidden/>
    <w:uiPriority w:val="99"/>
    <w:semiHidden/>
    <w:rsid w:val="00B42EF0"/>
    <w:rPr>
      <w:rFonts w:eastAsiaTheme="minorEastAsia"/>
    </w:rPr>
  </w:style>
  <w:style w:type="paragraph" w:styleId="CommentSubject">
    <w:name w:val="annotation subject"/>
    <w:basedOn w:val="CommentText"/>
    <w:next w:val="CommentText"/>
    <w:link w:val="CommentSubjectChar"/>
    <w:uiPriority w:val="99"/>
    <w:semiHidden/>
    <w:unhideWhenUsed/>
    <w:rsid w:val="00B42EF0"/>
    <w:pPr>
      <w:widowControl/>
    </w:pPr>
    <w:rPr>
      <w:rFonts w:eastAsiaTheme="minorEastAsia" w:cstheme="minorBidi"/>
      <w:b/>
      <w:bCs/>
      <w:snapToGrid/>
      <w:lang w:val="en-CA"/>
    </w:rPr>
  </w:style>
  <w:style w:type="character" w:customStyle="1" w:styleId="CommentSubjectChar">
    <w:name w:val="Comment Subject Char"/>
    <w:basedOn w:val="CommentTextChar"/>
    <w:link w:val="CommentSubject"/>
    <w:uiPriority w:val="99"/>
    <w:semiHidden/>
    <w:rsid w:val="00B42EF0"/>
    <w:rPr>
      <w:rFonts w:eastAsiaTheme="minorEastAsia" w:cs="Times New Roman"/>
      <w:b/>
      <w:bCs/>
      <w:snapToGrid/>
      <w:sz w:val="20"/>
      <w:szCs w:val="20"/>
      <w:lang w:val="en-US"/>
    </w:rPr>
  </w:style>
  <w:style w:type="paragraph" w:styleId="BodyText">
    <w:name w:val="Body Text"/>
    <w:basedOn w:val="Normal"/>
    <w:link w:val="BodyTextChar"/>
    <w:uiPriority w:val="99"/>
    <w:semiHidden/>
    <w:unhideWhenUsed/>
    <w:rsid w:val="008C30E5"/>
    <w:pPr>
      <w:spacing w:after="120"/>
    </w:pPr>
  </w:style>
  <w:style w:type="character" w:customStyle="1" w:styleId="BodyTextChar">
    <w:name w:val="Body Text Char"/>
    <w:basedOn w:val="DefaultParagraphFont"/>
    <w:link w:val="BodyText"/>
    <w:uiPriority w:val="99"/>
    <w:semiHidden/>
    <w:rsid w:val="008C30E5"/>
    <w:rPr>
      <w:rFonts w:eastAsiaTheme="minorEastAsia"/>
    </w:rPr>
  </w:style>
  <w:style w:type="paragraph" w:styleId="BalloonText">
    <w:name w:val="Balloon Text"/>
    <w:basedOn w:val="Normal"/>
    <w:link w:val="BalloonTextChar"/>
    <w:uiPriority w:val="99"/>
    <w:semiHidden/>
    <w:unhideWhenUsed/>
    <w:rsid w:val="008C30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0E5"/>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white-space-pre">
    <w:name w:val="white-space-pre"/>
    <w:basedOn w:val="DefaultParagraphFont"/>
    <w:rsid w:val="00E45A85"/>
  </w:style>
  <w:style w:type="paragraph" w:customStyle="1" w:styleId="xxxmsonormal">
    <w:name w:val="x_xxmsonormal"/>
    <w:basedOn w:val="Normal"/>
    <w:rsid w:val="00D74523"/>
    <w:rPr>
      <w:rFonts w:eastAsiaTheme="minorHAnsi"/>
      <w:sz w:val="22"/>
      <w:szCs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365932">
      <w:bodyDiv w:val="1"/>
      <w:marLeft w:val="0"/>
      <w:marRight w:val="0"/>
      <w:marTop w:val="0"/>
      <w:marBottom w:val="0"/>
      <w:divBdr>
        <w:top w:val="none" w:sz="0" w:space="0" w:color="auto"/>
        <w:left w:val="none" w:sz="0" w:space="0" w:color="auto"/>
        <w:bottom w:val="none" w:sz="0" w:space="0" w:color="auto"/>
        <w:right w:val="none" w:sz="0" w:space="0" w:color="auto"/>
      </w:divBdr>
    </w:div>
    <w:div w:id="49159246">
      <w:bodyDiv w:val="1"/>
      <w:marLeft w:val="0"/>
      <w:marRight w:val="0"/>
      <w:marTop w:val="0"/>
      <w:marBottom w:val="0"/>
      <w:divBdr>
        <w:top w:val="none" w:sz="0" w:space="0" w:color="auto"/>
        <w:left w:val="none" w:sz="0" w:space="0" w:color="auto"/>
        <w:bottom w:val="none" w:sz="0" w:space="0" w:color="auto"/>
        <w:right w:val="none" w:sz="0" w:space="0" w:color="auto"/>
      </w:divBdr>
    </w:div>
    <w:div w:id="256064590">
      <w:bodyDiv w:val="1"/>
      <w:marLeft w:val="0"/>
      <w:marRight w:val="0"/>
      <w:marTop w:val="0"/>
      <w:marBottom w:val="0"/>
      <w:divBdr>
        <w:top w:val="none" w:sz="0" w:space="0" w:color="auto"/>
        <w:left w:val="none" w:sz="0" w:space="0" w:color="auto"/>
        <w:bottom w:val="none" w:sz="0" w:space="0" w:color="auto"/>
        <w:right w:val="none" w:sz="0" w:space="0" w:color="auto"/>
      </w:divBdr>
    </w:div>
    <w:div w:id="619142312">
      <w:bodyDiv w:val="1"/>
      <w:marLeft w:val="0"/>
      <w:marRight w:val="0"/>
      <w:marTop w:val="0"/>
      <w:marBottom w:val="0"/>
      <w:divBdr>
        <w:top w:val="none" w:sz="0" w:space="0" w:color="auto"/>
        <w:left w:val="none" w:sz="0" w:space="0" w:color="auto"/>
        <w:bottom w:val="none" w:sz="0" w:space="0" w:color="auto"/>
        <w:right w:val="none" w:sz="0" w:space="0" w:color="auto"/>
      </w:divBdr>
    </w:div>
    <w:div w:id="1139037641">
      <w:bodyDiv w:val="1"/>
      <w:marLeft w:val="0"/>
      <w:marRight w:val="0"/>
      <w:marTop w:val="0"/>
      <w:marBottom w:val="0"/>
      <w:divBdr>
        <w:top w:val="none" w:sz="0" w:space="0" w:color="auto"/>
        <w:left w:val="none" w:sz="0" w:space="0" w:color="auto"/>
        <w:bottom w:val="none" w:sz="0" w:space="0" w:color="auto"/>
        <w:right w:val="none" w:sz="0" w:space="0" w:color="auto"/>
      </w:divBdr>
    </w:div>
    <w:div w:id="1534807915">
      <w:bodyDiv w:val="1"/>
      <w:marLeft w:val="0"/>
      <w:marRight w:val="0"/>
      <w:marTop w:val="0"/>
      <w:marBottom w:val="0"/>
      <w:divBdr>
        <w:top w:val="none" w:sz="0" w:space="0" w:color="auto"/>
        <w:left w:val="none" w:sz="0" w:space="0" w:color="auto"/>
        <w:bottom w:val="none" w:sz="0" w:space="0" w:color="auto"/>
        <w:right w:val="none" w:sz="0" w:space="0" w:color="auto"/>
      </w:divBdr>
    </w:div>
    <w:div w:id="1594046155">
      <w:bodyDiv w:val="1"/>
      <w:marLeft w:val="0"/>
      <w:marRight w:val="0"/>
      <w:marTop w:val="0"/>
      <w:marBottom w:val="0"/>
      <w:divBdr>
        <w:top w:val="none" w:sz="0" w:space="0" w:color="auto"/>
        <w:left w:val="none" w:sz="0" w:space="0" w:color="auto"/>
        <w:bottom w:val="none" w:sz="0" w:space="0" w:color="auto"/>
        <w:right w:val="none" w:sz="0" w:space="0" w:color="auto"/>
      </w:divBdr>
    </w:div>
    <w:div w:id="1894735881">
      <w:bodyDiv w:val="1"/>
      <w:marLeft w:val="0"/>
      <w:marRight w:val="0"/>
      <w:marTop w:val="0"/>
      <w:marBottom w:val="0"/>
      <w:divBdr>
        <w:top w:val="none" w:sz="0" w:space="0" w:color="auto"/>
        <w:left w:val="none" w:sz="0" w:space="0" w:color="auto"/>
        <w:bottom w:val="none" w:sz="0" w:space="0" w:color="auto"/>
        <w:right w:val="none" w:sz="0" w:space="0" w:color="auto"/>
      </w:divBdr>
    </w:div>
    <w:div w:id="200030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sepmedica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b+OahkF4oAd76ZDvgBBXrkv5fA==">AMUW2mWbBiyapDxD+jiMHgpcrqdqBfB8p1LOK3sNHz4r059dcD/DMsPt7z6t6hFVUoYgVp/WdSiBddN5ADgxxe1d+y86vtzWdjtl5nj/wjARnBtp2wusitw=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99804E-5FC6-4278-9A97-BF9ED27FC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646</Words>
  <Characters>3789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Dallin</dc:creator>
  <dc:description>52306-0001</dc:description>
  <cp:lastModifiedBy>Chris Dallin</cp:lastModifiedBy>
  <cp:revision>26</cp:revision>
  <cp:lastPrinted>2026-03-23T17:54:00Z</cp:lastPrinted>
  <dcterms:created xsi:type="dcterms:W3CDTF">2025-04-01T02:11:00Z</dcterms:created>
  <dcterms:modified xsi:type="dcterms:W3CDTF">2026-09-18T18:41:00Z</dcterms:modified>
</cp:coreProperties>
</file>