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37FCA" w14:textId="4777CEBA" w:rsidR="00A458AB" w:rsidRPr="00520E9D" w:rsidRDefault="0072415F" w:rsidP="00520E9D">
      <w:pPr>
        <w:pBdr>
          <w:top w:val="nil"/>
          <w:left w:val="nil"/>
          <w:bottom w:val="nil"/>
          <w:right w:val="nil"/>
          <w:between w:val="nil"/>
        </w:pBdr>
        <w:spacing w:before="240" w:line="360" w:lineRule="auto"/>
        <w:jc w:val="center"/>
        <w:rPr>
          <w:b/>
          <w:bCs/>
          <w:sz w:val="28"/>
          <w:szCs w:val="28"/>
        </w:rPr>
      </w:pPr>
      <w:r>
        <w:rPr>
          <w:b/>
          <w:sz w:val="28"/>
          <w:szCs w:val="28"/>
        </w:rPr>
        <w:t xml:space="preserve">Asep Medical Holdings Inc. </w:t>
      </w:r>
      <w:r>
        <w:rPr>
          <w:b/>
          <w:sz w:val="28"/>
          <w:szCs w:val="28"/>
        </w:rPr>
        <w:br/>
        <w:t xml:space="preserve">Appoints </w:t>
      </w:r>
      <w:r w:rsidR="00485981">
        <w:rPr>
          <w:b/>
          <w:sz w:val="28"/>
          <w:szCs w:val="28"/>
        </w:rPr>
        <w:t xml:space="preserve">Mr. Paul Kania </w:t>
      </w:r>
      <w:r>
        <w:rPr>
          <w:b/>
          <w:sz w:val="28"/>
          <w:szCs w:val="28"/>
        </w:rPr>
        <w:t xml:space="preserve">to its </w:t>
      </w:r>
      <w:r w:rsidR="00485981">
        <w:rPr>
          <w:b/>
          <w:sz w:val="28"/>
          <w:szCs w:val="28"/>
        </w:rPr>
        <w:t>Board of Directors</w:t>
      </w:r>
    </w:p>
    <w:p w14:paraId="47C5099B" w14:textId="657BEA9C" w:rsidR="00DF01A8" w:rsidRDefault="001448F3" w:rsidP="00DF01A8">
      <w:pPr>
        <w:pBdr>
          <w:top w:val="nil"/>
          <w:left w:val="nil"/>
          <w:bottom w:val="nil"/>
          <w:right w:val="nil"/>
          <w:between w:val="nil"/>
        </w:pBdr>
        <w:shd w:val="clear" w:color="auto" w:fill="FFFFFF"/>
        <w:spacing w:before="240" w:line="360" w:lineRule="auto"/>
        <w:rPr>
          <w:bCs/>
          <w:sz w:val="20"/>
          <w:szCs w:val="20"/>
        </w:rPr>
      </w:pPr>
      <w:r w:rsidRPr="009B0097">
        <w:rPr>
          <w:sz w:val="20"/>
          <w:szCs w:val="20"/>
        </w:rPr>
        <w:t xml:space="preserve">VANCOUVER, BC, </w:t>
      </w:r>
      <w:r w:rsidR="00485981">
        <w:rPr>
          <w:sz w:val="20"/>
          <w:szCs w:val="20"/>
        </w:rPr>
        <w:t>June 1</w:t>
      </w:r>
      <w:r w:rsidR="00064D3E">
        <w:rPr>
          <w:sz w:val="20"/>
          <w:szCs w:val="20"/>
        </w:rPr>
        <w:t>5</w:t>
      </w:r>
      <w:r w:rsidR="00EC12DD" w:rsidRPr="009B0097">
        <w:rPr>
          <w:sz w:val="20"/>
          <w:szCs w:val="20"/>
        </w:rPr>
        <w:t>, 202</w:t>
      </w:r>
      <w:r w:rsidR="009B0097">
        <w:rPr>
          <w:sz w:val="20"/>
          <w:szCs w:val="20"/>
        </w:rPr>
        <w:t>6</w:t>
      </w:r>
      <w:r w:rsidR="00E36A25">
        <w:rPr>
          <w:sz w:val="20"/>
          <w:szCs w:val="20"/>
        </w:rPr>
        <w:t xml:space="preserve"> </w:t>
      </w:r>
      <w:r w:rsidRPr="009B0097">
        <w:rPr>
          <w:sz w:val="20"/>
          <w:szCs w:val="20"/>
        </w:rPr>
        <w:t xml:space="preserve">— </w:t>
      </w:r>
      <w:r w:rsidR="00DF01A8">
        <w:rPr>
          <w:b/>
          <w:sz w:val="20"/>
          <w:szCs w:val="20"/>
        </w:rPr>
        <w:t xml:space="preserve">Asep </w:t>
      </w:r>
      <w:r w:rsidRPr="009B0097">
        <w:rPr>
          <w:b/>
          <w:sz w:val="20"/>
          <w:szCs w:val="20"/>
        </w:rPr>
        <w:t xml:space="preserve">Medical Holdings Inc. (“Asep” </w:t>
      </w:r>
      <w:r w:rsidRPr="009B0097">
        <w:rPr>
          <w:sz w:val="20"/>
          <w:szCs w:val="20"/>
        </w:rPr>
        <w:t>or the </w:t>
      </w:r>
      <w:r w:rsidRPr="009B0097">
        <w:rPr>
          <w:b/>
          <w:sz w:val="20"/>
          <w:szCs w:val="20"/>
        </w:rPr>
        <w:t xml:space="preserve">“Company”) (CSE: ASEP) (OTCQB: SEPSF) </w:t>
      </w:r>
      <w:r w:rsidR="00FF6A4C" w:rsidRPr="009B0097">
        <w:rPr>
          <w:b/>
          <w:sz w:val="20"/>
          <w:szCs w:val="20"/>
        </w:rPr>
        <w:t xml:space="preserve">(FSE: JJ8) </w:t>
      </w:r>
      <w:r w:rsidR="00485981">
        <w:rPr>
          <w:bCs/>
          <w:sz w:val="20"/>
          <w:szCs w:val="20"/>
        </w:rPr>
        <w:t>is pleased to announce the appointment of Mr. Paul Kania to its board of directors, effective imme</w:t>
      </w:r>
      <w:r w:rsidR="00DF01A8">
        <w:rPr>
          <w:bCs/>
          <w:sz w:val="20"/>
          <w:szCs w:val="20"/>
        </w:rPr>
        <w:t xml:space="preserve">diately. </w:t>
      </w:r>
    </w:p>
    <w:p w14:paraId="565EED3B" w14:textId="1D8E3619" w:rsidR="00DF01A8" w:rsidRPr="00DF01A8" w:rsidRDefault="00DF01A8" w:rsidP="00DF01A8">
      <w:pPr>
        <w:pBdr>
          <w:top w:val="nil"/>
          <w:left w:val="nil"/>
          <w:bottom w:val="nil"/>
          <w:right w:val="nil"/>
          <w:between w:val="nil"/>
        </w:pBdr>
        <w:shd w:val="clear" w:color="auto" w:fill="FFFFFF"/>
        <w:spacing w:before="240" w:line="360" w:lineRule="auto"/>
        <w:rPr>
          <w:bCs/>
          <w:sz w:val="20"/>
          <w:szCs w:val="20"/>
        </w:rPr>
      </w:pPr>
      <w:r w:rsidRPr="00DF01A8">
        <w:rPr>
          <w:bCs/>
          <w:sz w:val="20"/>
          <w:szCs w:val="20"/>
        </w:rPr>
        <w:t xml:space="preserve">Mr. Kania brings more than 20 years of </w:t>
      </w:r>
      <w:r>
        <w:rPr>
          <w:bCs/>
          <w:sz w:val="20"/>
          <w:szCs w:val="20"/>
        </w:rPr>
        <w:t xml:space="preserve">experience in </w:t>
      </w:r>
      <w:r w:rsidRPr="00DF01A8">
        <w:rPr>
          <w:bCs/>
          <w:sz w:val="20"/>
          <w:szCs w:val="20"/>
        </w:rPr>
        <w:t xml:space="preserve">accounting, finance, and corporate governance to </w:t>
      </w:r>
      <w:r>
        <w:rPr>
          <w:bCs/>
          <w:sz w:val="20"/>
          <w:szCs w:val="20"/>
        </w:rPr>
        <w:t>Asep</w:t>
      </w:r>
      <w:r w:rsidRPr="00DF01A8">
        <w:rPr>
          <w:bCs/>
          <w:sz w:val="20"/>
          <w:szCs w:val="20"/>
        </w:rPr>
        <w:t>. He is the Founder of PLK Accounting &amp; Finance Inc., a firm that provides C-suite leadership and board advisory services to both private and publicly traded companies.</w:t>
      </w:r>
    </w:p>
    <w:p w14:paraId="625835C1" w14:textId="77777777" w:rsidR="00DF01A8" w:rsidRPr="00DF01A8" w:rsidRDefault="00DF01A8" w:rsidP="00DF01A8">
      <w:pPr>
        <w:pBdr>
          <w:top w:val="nil"/>
          <w:left w:val="nil"/>
          <w:bottom w:val="nil"/>
          <w:right w:val="nil"/>
          <w:between w:val="nil"/>
        </w:pBdr>
        <w:shd w:val="clear" w:color="auto" w:fill="FFFFFF"/>
        <w:spacing w:before="240" w:line="360" w:lineRule="auto"/>
        <w:rPr>
          <w:bCs/>
          <w:sz w:val="20"/>
          <w:szCs w:val="20"/>
        </w:rPr>
      </w:pPr>
      <w:r w:rsidRPr="00DF01A8">
        <w:rPr>
          <w:bCs/>
          <w:sz w:val="20"/>
          <w:szCs w:val="20"/>
        </w:rPr>
        <w:t>Prior to founding PLK, Mr. Kania built an impressive career with leading financial and professional services organizations. He worked as an auditor with MNP LLP in Toronto and Berdon LLP in New York City before joining Brookfield Asset Management, where he served as a manager within the company’s Corporate Finance department.</w:t>
      </w:r>
    </w:p>
    <w:p w14:paraId="12E997AC" w14:textId="03A421E8" w:rsidR="00DF01A8" w:rsidRPr="00DF01A8" w:rsidRDefault="00DF01A8" w:rsidP="00DF01A8">
      <w:pPr>
        <w:pBdr>
          <w:top w:val="nil"/>
          <w:left w:val="nil"/>
          <w:bottom w:val="nil"/>
          <w:right w:val="nil"/>
          <w:between w:val="nil"/>
        </w:pBdr>
        <w:shd w:val="clear" w:color="auto" w:fill="FFFFFF"/>
        <w:spacing w:before="240" w:line="360" w:lineRule="auto"/>
        <w:rPr>
          <w:bCs/>
          <w:sz w:val="20"/>
          <w:szCs w:val="20"/>
        </w:rPr>
      </w:pPr>
      <w:r w:rsidRPr="00DF01A8">
        <w:rPr>
          <w:bCs/>
          <w:sz w:val="20"/>
          <w:szCs w:val="20"/>
        </w:rPr>
        <w:t xml:space="preserve">“Paul’s extensive financial expertise, public company experience, and strong understanding of corporate governance will be invaluable as </w:t>
      </w:r>
      <w:r>
        <w:rPr>
          <w:bCs/>
          <w:sz w:val="20"/>
          <w:szCs w:val="20"/>
        </w:rPr>
        <w:t xml:space="preserve">the Company </w:t>
      </w:r>
      <w:r w:rsidRPr="00DF01A8">
        <w:rPr>
          <w:bCs/>
          <w:sz w:val="20"/>
          <w:szCs w:val="20"/>
        </w:rPr>
        <w:t xml:space="preserve">continues to advance its strategic objectives,” said </w:t>
      </w:r>
      <w:r>
        <w:rPr>
          <w:bCs/>
          <w:sz w:val="20"/>
          <w:szCs w:val="20"/>
        </w:rPr>
        <w:t xml:space="preserve">Richard Heinzl, Interim CEO of Asep. </w:t>
      </w:r>
      <w:r w:rsidRPr="00DF01A8">
        <w:rPr>
          <w:bCs/>
          <w:sz w:val="20"/>
          <w:szCs w:val="20"/>
        </w:rPr>
        <w:t>“We are delighted to welcome him to our Board and look forward to benefiting from his insight and leadership.”</w:t>
      </w:r>
    </w:p>
    <w:p w14:paraId="24A8372E" w14:textId="77777777" w:rsidR="00DF01A8" w:rsidRPr="00DF01A8" w:rsidRDefault="00DF01A8" w:rsidP="00DF01A8">
      <w:pPr>
        <w:pBdr>
          <w:top w:val="nil"/>
          <w:left w:val="nil"/>
          <w:bottom w:val="nil"/>
          <w:right w:val="nil"/>
          <w:between w:val="nil"/>
        </w:pBdr>
        <w:shd w:val="clear" w:color="auto" w:fill="FFFFFF"/>
        <w:spacing w:before="240" w:line="360" w:lineRule="auto"/>
        <w:rPr>
          <w:bCs/>
          <w:sz w:val="20"/>
          <w:szCs w:val="20"/>
        </w:rPr>
      </w:pPr>
      <w:r w:rsidRPr="00DF01A8">
        <w:rPr>
          <w:bCs/>
          <w:sz w:val="20"/>
          <w:szCs w:val="20"/>
        </w:rPr>
        <w:t>Mr. Kania holds a Bachelor of Arts (Honours) degree in Economics and Philosophy from the University of Toronto and a Finance and Accounting Certificate from Toronto Metropolitan University. He is also an unregistered Certified Public Accountant with the State of New York.</w:t>
      </w:r>
    </w:p>
    <w:p w14:paraId="6A99B9B9" w14:textId="1F7D6BCB" w:rsidR="00DF01A8" w:rsidRPr="00DF01A8" w:rsidRDefault="00DF01A8" w:rsidP="00DF01A8">
      <w:pPr>
        <w:pBdr>
          <w:top w:val="nil"/>
          <w:left w:val="nil"/>
          <w:bottom w:val="nil"/>
          <w:right w:val="nil"/>
          <w:between w:val="nil"/>
        </w:pBdr>
        <w:shd w:val="clear" w:color="auto" w:fill="FFFFFF"/>
        <w:spacing w:before="240" w:line="360" w:lineRule="auto"/>
        <w:rPr>
          <w:bCs/>
          <w:sz w:val="20"/>
          <w:szCs w:val="20"/>
        </w:rPr>
      </w:pPr>
      <w:r w:rsidRPr="00DF01A8">
        <w:rPr>
          <w:bCs/>
          <w:sz w:val="20"/>
          <w:szCs w:val="20"/>
        </w:rPr>
        <w:t>“I am excited to join A</w:t>
      </w:r>
      <w:r w:rsidR="0072415F">
        <w:rPr>
          <w:bCs/>
          <w:sz w:val="20"/>
          <w:szCs w:val="20"/>
        </w:rPr>
        <w:t>sep</w:t>
      </w:r>
      <w:r w:rsidRPr="00DF01A8">
        <w:rPr>
          <w:bCs/>
          <w:sz w:val="20"/>
          <w:szCs w:val="20"/>
        </w:rPr>
        <w:t>’s Board of Directors at such an important stage in the Company’s growth,” said Mr. Kania. “</w:t>
      </w:r>
      <w:r w:rsidR="0072415F">
        <w:rPr>
          <w:bCs/>
          <w:sz w:val="20"/>
          <w:szCs w:val="20"/>
        </w:rPr>
        <w:t>The Company has the</w:t>
      </w:r>
      <w:r w:rsidRPr="00DF01A8">
        <w:rPr>
          <w:bCs/>
          <w:sz w:val="20"/>
          <w:szCs w:val="20"/>
        </w:rPr>
        <w:t xml:space="preserve"> potential to address critical healthcare challenges, and I look forward to supporting </w:t>
      </w:r>
      <w:r w:rsidR="0072415F">
        <w:rPr>
          <w:bCs/>
          <w:sz w:val="20"/>
          <w:szCs w:val="20"/>
        </w:rPr>
        <w:t xml:space="preserve">its mandate </w:t>
      </w:r>
      <w:r w:rsidRPr="00DF01A8">
        <w:rPr>
          <w:bCs/>
          <w:sz w:val="20"/>
          <w:szCs w:val="20"/>
        </w:rPr>
        <w:t>as it works to create value for patients, partners, and shareholders.”</w:t>
      </w:r>
    </w:p>
    <w:p w14:paraId="17D0A394" w14:textId="39850D4F" w:rsidR="00367EDC" w:rsidRDefault="00DF01A8" w:rsidP="00DF01A8">
      <w:pPr>
        <w:pBdr>
          <w:top w:val="nil"/>
          <w:left w:val="nil"/>
          <w:bottom w:val="nil"/>
          <w:right w:val="nil"/>
          <w:between w:val="nil"/>
        </w:pBdr>
        <w:shd w:val="clear" w:color="auto" w:fill="FFFFFF"/>
        <w:spacing w:before="240" w:line="360" w:lineRule="auto"/>
        <w:rPr>
          <w:bCs/>
          <w:sz w:val="20"/>
          <w:szCs w:val="20"/>
        </w:rPr>
      </w:pPr>
      <w:r w:rsidRPr="00DF01A8">
        <w:rPr>
          <w:bCs/>
          <w:sz w:val="20"/>
          <w:szCs w:val="20"/>
        </w:rPr>
        <w:t xml:space="preserve">The appointment reflects </w:t>
      </w:r>
      <w:r w:rsidR="0072415F">
        <w:rPr>
          <w:bCs/>
          <w:sz w:val="20"/>
          <w:szCs w:val="20"/>
        </w:rPr>
        <w:t>Asep’s</w:t>
      </w:r>
      <w:r w:rsidRPr="00DF01A8">
        <w:rPr>
          <w:bCs/>
          <w:sz w:val="20"/>
          <w:szCs w:val="20"/>
        </w:rPr>
        <w:t xml:space="preserve"> continued commitment to strengthening its leadership team and governance capabilities as the Company advances its mission to improve outcomes for patients affected by sepsis and other life-threatening infections.</w:t>
      </w:r>
    </w:p>
    <w:p w14:paraId="353C89EA" w14:textId="77777777" w:rsidR="0072415F" w:rsidRPr="00520E9D" w:rsidRDefault="0072415F" w:rsidP="00DF01A8">
      <w:pPr>
        <w:pBdr>
          <w:top w:val="nil"/>
          <w:left w:val="nil"/>
          <w:bottom w:val="nil"/>
          <w:right w:val="nil"/>
          <w:between w:val="nil"/>
        </w:pBdr>
        <w:shd w:val="clear" w:color="auto" w:fill="FFFFFF"/>
        <w:spacing w:before="240" w:line="360" w:lineRule="auto"/>
        <w:rPr>
          <w:bCs/>
          <w:sz w:val="20"/>
          <w:szCs w:val="20"/>
        </w:rPr>
      </w:pPr>
    </w:p>
    <w:p w14:paraId="0A3089C7" w14:textId="754AFB33" w:rsidR="009B0097" w:rsidRPr="00DC6043" w:rsidRDefault="009B0097" w:rsidP="009B0097">
      <w:pPr>
        <w:spacing w:line="276" w:lineRule="auto"/>
        <w:rPr>
          <w:rFonts w:eastAsiaTheme="minorHAnsi"/>
          <w:b/>
          <w:bCs/>
          <w:color w:val="000000" w:themeColor="text1"/>
          <w:sz w:val="20"/>
          <w:szCs w:val="20"/>
          <w:lang w:val="en"/>
        </w:rPr>
      </w:pPr>
      <w:r w:rsidRPr="00DC6043">
        <w:rPr>
          <w:rFonts w:eastAsiaTheme="minorHAnsi"/>
          <w:b/>
          <w:bCs/>
          <w:color w:val="000000" w:themeColor="text1"/>
          <w:sz w:val="20"/>
          <w:szCs w:val="20"/>
          <w:lang w:val="en"/>
        </w:rPr>
        <w:t xml:space="preserve">ABOUT </w:t>
      </w:r>
      <w:r w:rsidR="00DF01A8">
        <w:rPr>
          <w:rFonts w:eastAsiaTheme="minorHAnsi"/>
          <w:b/>
          <w:bCs/>
          <w:color w:val="000000" w:themeColor="text1"/>
          <w:sz w:val="20"/>
          <w:szCs w:val="20"/>
          <w:lang w:val="en"/>
        </w:rPr>
        <w:t>ASEP</w:t>
      </w:r>
      <w:r w:rsidRPr="00DC6043">
        <w:rPr>
          <w:rFonts w:eastAsiaTheme="minorHAnsi"/>
          <w:b/>
          <w:bCs/>
          <w:color w:val="000000" w:themeColor="text1"/>
          <w:sz w:val="20"/>
          <w:szCs w:val="20"/>
          <w:lang w:val="en"/>
        </w:rPr>
        <w:t>MEDICAL HOLDINGS INC.</w:t>
      </w:r>
    </w:p>
    <w:p w14:paraId="0D14CA7B" w14:textId="4D00C960" w:rsidR="00FF6A4C" w:rsidRDefault="00DF01A8" w:rsidP="009B0097">
      <w:pPr>
        <w:spacing w:before="240" w:line="360" w:lineRule="auto"/>
        <w:rPr>
          <w:bCs/>
          <w:sz w:val="20"/>
          <w:szCs w:val="20"/>
        </w:rPr>
      </w:pPr>
      <w:r>
        <w:rPr>
          <w:rFonts w:eastAsiaTheme="minorHAnsi"/>
          <w:color w:val="000000" w:themeColor="text1"/>
          <w:sz w:val="20"/>
          <w:szCs w:val="20"/>
          <w:lang w:val="en"/>
        </w:rPr>
        <w:t xml:space="preserve">Asep </w:t>
      </w:r>
      <w:r w:rsidR="009B0097" w:rsidRPr="00DC6043">
        <w:rPr>
          <w:rFonts w:eastAsiaTheme="minorHAnsi"/>
          <w:color w:val="000000" w:themeColor="text1"/>
          <w:sz w:val="20"/>
          <w:szCs w:val="20"/>
          <w:lang w:val="en"/>
        </w:rPr>
        <w:t>Medical</w:t>
      </w:r>
      <w:r>
        <w:rPr>
          <w:rFonts w:eastAsiaTheme="minorHAnsi"/>
          <w:color w:val="000000" w:themeColor="text1"/>
          <w:sz w:val="20"/>
          <w:szCs w:val="20"/>
          <w:lang w:val="en"/>
        </w:rPr>
        <w:t xml:space="preserve"> Holdings</w:t>
      </w:r>
      <w:r w:rsidR="009B0097" w:rsidRPr="00DC6043">
        <w:rPr>
          <w:rFonts w:eastAsiaTheme="minorHAnsi"/>
          <w:color w:val="000000" w:themeColor="text1"/>
          <w:sz w:val="20"/>
          <w:szCs w:val="20"/>
          <w:lang w:val="en"/>
        </w:rPr>
        <w:t xml:space="preserve"> is a standout biotechnology research and development company based in Victoria, BC, Canada. The Company possesses a valuable portfolio of global patents for innovative diagnostic and therapeutic medical technologies. These technologies were developed over the past decade at the University of British Columbia under the guidance of Dr. Robert E. W. Hancock, one of the world’s foremost microbiologists. </w:t>
      </w:r>
      <w:r>
        <w:rPr>
          <w:rFonts w:eastAsiaTheme="minorHAnsi"/>
          <w:color w:val="000000" w:themeColor="text1"/>
          <w:sz w:val="20"/>
          <w:szCs w:val="20"/>
          <w:lang w:val="en"/>
        </w:rPr>
        <w:t>Asep</w:t>
      </w:r>
      <w:r w:rsidR="0072415F">
        <w:rPr>
          <w:rFonts w:eastAsiaTheme="minorHAnsi"/>
          <w:color w:val="000000" w:themeColor="text1"/>
          <w:sz w:val="20"/>
          <w:szCs w:val="20"/>
          <w:lang w:val="en"/>
        </w:rPr>
        <w:t xml:space="preserve"> </w:t>
      </w:r>
      <w:r w:rsidR="009B0097" w:rsidRPr="00DC6043">
        <w:rPr>
          <w:rFonts w:eastAsiaTheme="minorHAnsi"/>
          <w:color w:val="000000" w:themeColor="text1"/>
          <w:sz w:val="20"/>
          <w:szCs w:val="20"/>
          <w:lang w:val="en"/>
        </w:rPr>
        <w:t>holds a controlling interest in two private subsidiary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investors.</w:t>
      </w:r>
    </w:p>
    <w:p w14:paraId="41283CAB" w14:textId="6E83AFEB" w:rsidR="00E36A25" w:rsidRDefault="00E36A25">
      <w:pPr>
        <w:rPr>
          <w:b/>
          <w:sz w:val="20"/>
          <w:szCs w:val="20"/>
        </w:rPr>
      </w:pPr>
    </w:p>
    <w:p w14:paraId="601BC57C" w14:textId="4DF4EF8F" w:rsidR="00FF6A4C" w:rsidRPr="005217A4" w:rsidRDefault="00FF6A4C" w:rsidP="008302FD">
      <w:pPr>
        <w:spacing w:before="240" w:line="360" w:lineRule="auto"/>
        <w:rPr>
          <w:bCs/>
          <w:sz w:val="20"/>
          <w:szCs w:val="20"/>
        </w:rPr>
      </w:pPr>
      <w:r w:rsidRPr="005217A4">
        <w:rPr>
          <w:b/>
          <w:sz w:val="20"/>
          <w:szCs w:val="20"/>
        </w:rPr>
        <w:t>FOR MORE INFORMATION, PLEASE CONTACT —</w:t>
      </w:r>
      <w:r w:rsidR="008302FD">
        <w:rPr>
          <w:b/>
          <w:sz w:val="20"/>
          <w:szCs w:val="20"/>
        </w:rPr>
        <w:br/>
      </w:r>
      <w:r w:rsidRPr="005217A4">
        <w:rPr>
          <w:bCs/>
          <w:sz w:val="20"/>
          <w:szCs w:val="20"/>
        </w:rPr>
        <w:t>Chris Dallin, Marketing Director</w:t>
      </w:r>
      <w:r w:rsidR="005217A4">
        <w:rPr>
          <w:bCs/>
          <w:sz w:val="20"/>
          <w:szCs w:val="20"/>
        </w:rPr>
        <w:br/>
      </w:r>
      <w:r w:rsidR="00DF01A8">
        <w:rPr>
          <w:bCs/>
          <w:sz w:val="20"/>
          <w:szCs w:val="20"/>
        </w:rPr>
        <w:t>A</w:t>
      </w:r>
      <w:r w:rsidR="00064D3E">
        <w:rPr>
          <w:bCs/>
          <w:sz w:val="20"/>
          <w:szCs w:val="20"/>
        </w:rPr>
        <w:t xml:space="preserve">sep </w:t>
      </w:r>
      <w:r w:rsidRPr="005217A4">
        <w:rPr>
          <w:bCs/>
          <w:sz w:val="20"/>
          <w:szCs w:val="20"/>
        </w:rPr>
        <w:t>Medical Holdings Inc.</w:t>
      </w:r>
      <w:r w:rsidR="005217A4">
        <w:rPr>
          <w:bCs/>
          <w:sz w:val="20"/>
          <w:szCs w:val="20"/>
        </w:rPr>
        <w:br/>
      </w:r>
      <w:r w:rsidRPr="005217A4">
        <w:rPr>
          <w:bCs/>
          <w:sz w:val="20"/>
          <w:szCs w:val="20"/>
        </w:rPr>
        <w:t xml:space="preserve">E. </w:t>
      </w:r>
      <w:hyperlink r:id="rId9" w:history="1">
        <w:r w:rsidR="005217A4" w:rsidRPr="00076D32">
          <w:rPr>
            <w:rStyle w:val="Hyperlink"/>
            <w:bCs/>
            <w:sz w:val="20"/>
            <w:szCs w:val="20"/>
          </w:rPr>
          <w:t>chris@asepmedical.com</w:t>
        </w:r>
      </w:hyperlink>
      <w:r w:rsidR="005217A4">
        <w:rPr>
          <w:bCs/>
          <w:sz w:val="20"/>
          <w:szCs w:val="20"/>
        </w:rPr>
        <w:br/>
      </w:r>
      <w:r w:rsidRPr="005217A4">
        <w:rPr>
          <w:bCs/>
          <w:sz w:val="20"/>
          <w:szCs w:val="20"/>
        </w:rPr>
        <w:t>T. +1 (604) 362-3654</w:t>
      </w:r>
    </w:p>
    <w:p w14:paraId="24742102" w14:textId="48970FEC" w:rsidR="00FF6A4C" w:rsidRPr="005217A4" w:rsidRDefault="00FF6A4C" w:rsidP="008302FD">
      <w:pPr>
        <w:spacing w:before="240" w:line="360" w:lineRule="auto"/>
        <w:rPr>
          <w:bCs/>
          <w:sz w:val="20"/>
          <w:szCs w:val="20"/>
        </w:rPr>
      </w:pPr>
      <w:r w:rsidRPr="005217A4">
        <w:rPr>
          <w:b/>
          <w:sz w:val="20"/>
          <w:szCs w:val="20"/>
        </w:rPr>
        <w:t>FORWARD-LOOKING STATEMENTS —</w:t>
      </w:r>
      <w:r w:rsidRPr="005217A4">
        <w:rPr>
          <w:bCs/>
          <w:sz w:val="20"/>
          <w:szCs w:val="20"/>
        </w:rPr>
        <w:br/>
        <w:t xml:space="preserve">This news release contains certain "forward-looking statements" within the meaning of such statements under applicable securities law. Forward-looking statements are frequently characterized by words such as "anticipates," "plan," "continue," "expect," "project," "intend," "believe," "anticipate," "estimate," "may," "will," "potential," "proposed," "positioned" and other similar words, or statements that certain events or conditions "may" or "will" occur. These statements include but are not limited to </w:t>
      </w:r>
      <w:r w:rsidR="000A76D3">
        <w:rPr>
          <w:bCs/>
          <w:sz w:val="20"/>
          <w:szCs w:val="20"/>
        </w:rPr>
        <w:t xml:space="preserve">the ability of the joint venture to pursue commercialization of the Sepsis diagnostic testing kit in China; the contributions of the joint venture partner to the joint venture; the ability of the joint venture to secure the necessary regulatory approvals for the diagnostic testing kit; </w:t>
      </w:r>
      <w:r w:rsidRPr="005217A4">
        <w:rPr>
          <w:bCs/>
          <w:sz w:val="20"/>
          <w:szCs w:val="20"/>
        </w:rPr>
        <w:t xml:space="preserve">the successful clinical testing of </w:t>
      </w:r>
      <w:r w:rsidR="00BD6FC6">
        <w:rPr>
          <w:bCs/>
          <w:sz w:val="20"/>
          <w:szCs w:val="20"/>
        </w:rPr>
        <w:t>Sepset’s</w:t>
      </w:r>
      <w:r w:rsidRPr="005217A4">
        <w:rPr>
          <w:bCs/>
          <w:sz w:val="20"/>
          <w:szCs w:val="20"/>
        </w:rPr>
        <w:t xml:space="preserve"> Sepsis in vitro diagnostic test and its intended filing for regulatory market authorization; the Company not receiving regulatory market authorization as planned or at all; the undertaking of pre-clinical studies on our lead therapeutic, with the expectation that this will lead to fast-track clinical trials; the timeframe for identification of sepsis with the </w:t>
      </w:r>
      <w:r w:rsidR="00BD6FC6">
        <w:rPr>
          <w:bCs/>
          <w:sz w:val="20"/>
          <w:szCs w:val="20"/>
        </w:rPr>
        <w:t>C</w:t>
      </w:r>
      <w:r w:rsidRPr="005217A4">
        <w:rPr>
          <w:bCs/>
          <w:sz w:val="20"/>
          <w:szCs w:val="20"/>
        </w:rPr>
        <w:t xml:space="preserve">ompany’s products; the potential opportunities for the generation of revenue; the therapeutic benefits of the </w:t>
      </w:r>
      <w:r w:rsidR="00BD6FC6">
        <w:rPr>
          <w:bCs/>
          <w:sz w:val="20"/>
          <w:szCs w:val="20"/>
        </w:rPr>
        <w:t>C</w:t>
      </w:r>
      <w:r w:rsidRPr="005217A4">
        <w:rPr>
          <w:bCs/>
          <w:sz w:val="20"/>
          <w:szCs w:val="20"/>
        </w:rPr>
        <w:t xml:space="preserve">ompany’s products; and other statements regarding the </w:t>
      </w:r>
      <w:r w:rsidR="00BD6FC6">
        <w:rPr>
          <w:bCs/>
          <w:sz w:val="20"/>
          <w:szCs w:val="20"/>
        </w:rPr>
        <w:t>C</w:t>
      </w:r>
      <w:r w:rsidRPr="005217A4">
        <w:rPr>
          <w:bCs/>
          <w:sz w:val="20"/>
          <w:szCs w:val="20"/>
        </w:rPr>
        <w:t xml:space="preserve">ompany’s proposed business plans. Various assumptions were used in drawing conclusions or making the predictions </w:t>
      </w:r>
      <w:r w:rsidRPr="005217A4">
        <w:rPr>
          <w:bCs/>
          <w:sz w:val="20"/>
          <w:szCs w:val="20"/>
        </w:rPr>
        <w:lastRenderedPageBreak/>
        <w:t xml:space="preserve">contained in the forward-looking statements throughout this news release. Forward-looking statements are based on the opinions and estimates of management at the date the statements are made and are subject to a variety of risks including the risk that the </w:t>
      </w:r>
      <w:r w:rsidR="00BD6FC6">
        <w:rPr>
          <w:bCs/>
          <w:sz w:val="20"/>
          <w:szCs w:val="20"/>
        </w:rPr>
        <w:t>C</w:t>
      </w:r>
      <w:r w:rsidRPr="005217A4">
        <w:rPr>
          <w:bCs/>
          <w:sz w:val="20"/>
          <w:szCs w:val="20"/>
        </w:rPr>
        <w:t xml:space="preserve">ompany’s products may not perform as expected; that the </w:t>
      </w:r>
      <w:r w:rsidR="00BD6FC6">
        <w:rPr>
          <w:bCs/>
          <w:sz w:val="20"/>
          <w:szCs w:val="20"/>
        </w:rPr>
        <w:t>C</w:t>
      </w:r>
      <w:r w:rsidRPr="005217A4">
        <w:rPr>
          <w:bCs/>
          <w:sz w:val="20"/>
          <w:szCs w:val="20"/>
        </w:rPr>
        <w:t xml:space="preserve">ompany may not receive the requisite regulatory market authorization or results of testing; the Company’s testing of the products may not be successful and market authorization may not be obtained in the estimated timelines or at all; the </w:t>
      </w:r>
      <w:r w:rsidR="00BD6FC6">
        <w:rPr>
          <w:bCs/>
          <w:sz w:val="20"/>
          <w:szCs w:val="20"/>
        </w:rPr>
        <w:t>C</w:t>
      </w:r>
      <w:r w:rsidRPr="005217A4">
        <w:rPr>
          <w:bCs/>
          <w:sz w:val="20"/>
          <w:szCs w:val="20"/>
        </w:rPr>
        <w:t xml:space="preserve">ompany may not be able to generate revenue from its products as expected or at all; </w:t>
      </w:r>
      <w:r w:rsidR="000A76D3">
        <w:rPr>
          <w:bCs/>
          <w:sz w:val="20"/>
          <w:szCs w:val="20"/>
        </w:rPr>
        <w:t xml:space="preserve">the joint venture may not be able to commercialize the diagnostic testing kit in China as expected or at all; </w:t>
      </w:r>
      <w:r w:rsidRPr="005217A4">
        <w:rPr>
          <w:bCs/>
          <w:sz w:val="20"/>
          <w:szCs w:val="20"/>
        </w:rPr>
        <w:t xml:space="preserve">the market for the </w:t>
      </w:r>
      <w:r w:rsidR="00BD6FC6">
        <w:rPr>
          <w:bCs/>
          <w:sz w:val="20"/>
          <w:szCs w:val="20"/>
        </w:rPr>
        <w:t>C</w:t>
      </w:r>
      <w:r w:rsidRPr="005217A4">
        <w:rPr>
          <w:bCs/>
          <w:sz w:val="20"/>
          <w:szCs w:val="20"/>
        </w:rPr>
        <w:t>ompany’s products may not be as described in this news release; and various other risk factors identified in the Asep</w:t>
      </w:r>
      <w:r w:rsidR="00BD6FC6">
        <w:rPr>
          <w:bCs/>
          <w:sz w:val="20"/>
          <w:szCs w:val="20"/>
        </w:rPr>
        <w:t xml:space="preserve">’s </w:t>
      </w:r>
      <w:r w:rsidR="000A76D3">
        <w:rPr>
          <w:bCs/>
          <w:sz w:val="20"/>
          <w:szCs w:val="20"/>
        </w:rPr>
        <w:t>public disclosure record</w:t>
      </w:r>
      <w:r w:rsidRPr="005217A4">
        <w:rPr>
          <w:bCs/>
          <w:sz w:val="20"/>
          <w:szCs w:val="20"/>
        </w:rPr>
        <w:t xml:space="preserve">, </w:t>
      </w:r>
      <w:r w:rsidR="000A76D3">
        <w:rPr>
          <w:bCs/>
          <w:sz w:val="20"/>
          <w:szCs w:val="20"/>
        </w:rPr>
        <w:t>including without limitation</w:t>
      </w:r>
      <w:r w:rsidRPr="005217A4">
        <w:rPr>
          <w:bCs/>
          <w:sz w:val="20"/>
          <w:szCs w:val="20"/>
        </w:rPr>
        <w:t xml:space="preserve"> the </w:t>
      </w:r>
      <w:r w:rsidR="00BD6FC6">
        <w:rPr>
          <w:bCs/>
          <w:sz w:val="20"/>
          <w:szCs w:val="20"/>
        </w:rPr>
        <w:t>C</w:t>
      </w:r>
      <w:r w:rsidRPr="005217A4">
        <w:rPr>
          <w:bCs/>
          <w:sz w:val="20"/>
          <w:szCs w:val="20"/>
        </w:rPr>
        <w:t>ompany’s management discussion and analysis, available for review under the Company’s profile at www.sedar</w:t>
      </w:r>
      <w:r w:rsidR="00BD6FC6">
        <w:rPr>
          <w:bCs/>
          <w:sz w:val="20"/>
          <w:szCs w:val="20"/>
        </w:rPr>
        <w:t>plus</w:t>
      </w:r>
      <w:r w:rsidRPr="005217A4">
        <w:rPr>
          <w:bCs/>
          <w:sz w:val="20"/>
          <w:szCs w:val="20"/>
        </w:rPr>
        <w:t>.c</w:t>
      </w:r>
      <w:r w:rsidR="00BD6FC6">
        <w:rPr>
          <w:bCs/>
          <w:sz w:val="20"/>
          <w:szCs w:val="20"/>
        </w:rPr>
        <w:t>a</w:t>
      </w:r>
      <w:r w:rsidRPr="005217A4">
        <w:rPr>
          <w:bCs/>
          <w:sz w:val="20"/>
          <w:szCs w:val="20"/>
        </w:rPr>
        <w:t xml:space="preserve"> and uncertainties and other factors that could cause actual events or results to differ materially from those projected in the forward-looking statements. </w:t>
      </w:r>
      <w:r w:rsidR="00DF01A8">
        <w:rPr>
          <w:bCs/>
          <w:sz w:val="20"/>
          <w:szCs w:val="20"/>
        </w:rPr>
        <w:t>Asep</w:t>
      </w:r>
      <w:r w:rsidR="00064D3E">
        <w:rPr>
          <w:bCs/>
          <w:sz w:val="20"/>
          <w:szCs w:val="20"/>
        </w:rPr>
        <w:t xml:space="preserve"> </w:t>
      </w:r>
      <w:r w:rsidRPr="005217A4">
        <w:rPr>
          <w:bCs/>
          <w:sz w:val="20"/>
          <w:szCs w:val="20"/>
        </w:rPr>
        <w:t xml:space="preserve">is under no obligation and expressly disclaims any intention or obligation to update or revise any forward-looking statements, whether as a result of new information, future events or otherwise, except as expressly required by applicable law. </w:t>
      </w:r>
    </w:p>
    <w:sectPr w:rsidR="00FF6A4C" w:rsidRPr="005217A4" w:rsidSect="006E111B">
      <w:headerReference w:type="default" r:id="rId10"/>
      <w:footerReference w:type="even" r:id="rId11"/>
      <w:footerReference w:type="default" r:id="rId12"/>
      <w:pgSz w:w="12240" w:h="15840"/>
      <w:pgMar w:top="2694" w:right="1440" w:bottom="1440" w:left="1440" w:header="2160"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D5D76" w14:textId="77777777" w:rsidR="0096438B" w:rsidRDefault="0096438B">
      <w:r>
        <w:separator/>
      </w:r>
    </w:p>
  </w:endnote>
  <w:endnote w:type="continuationSeparator" w:id="0">
    <w:p w14:paraId="2D4BB258" w14:textId="77777777" w:rsidR="0096438B" w:rsidRDefault="0096438B">
      <w:r>
        <w:continuationSeparator/>
      </w:r>
    </w:p>
  </w:endnote>
  <w:endnote w:type="continuationNotice" w:id="1">
    <w:p w14:paraId="0F1DFCEA" w14:textId="77777777" w:rsidR="0096438B" w:rsidRDefault="009643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8EFD" w14:textId="77777777" w:rsidR="00441EC2" w:rsidRDefault="001448F3">
    <w:pPr>
      <w:pBdr>
        <w:top w:val="nil"/>
        <w:left w:val="nil"/>
        <w:bottom w:val="nil"/>
        <w:right w:val="nil"/>
        <w:between w:val="nil"/>
      </w:pBdr>
      <w:tabs>
        <w:tab w:val="center" w:pos="4680"/>
        <w:tab w:val="right" w:pos="9360"/>
      </w:tabs>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end"/>
    </w:r>
  </w:p>
  <w:p w14:paraId="1089788C"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C5AF" w14:textId="4EB9442A" w:rsidR="00441EC2" w:rsidRPr="008D0239" w:rsidRDefault="001448F3">
    <w:pPr>
      <w:pBdr>
        <w:top w:val="nil"/>
        <w:left w:val="nil"/>
        <w:bottom w:val="nil"/>
        <w:right w:val="nil"/>
        <w:between w:val="nil"/>
      </w:pBdr>
      <w:tabs>
        <w:tab w:val="center" w:pos="4680"/>
        <w:tab w:val="right" w:pos="9360"/>
      </w:tabs>
      <w:jc w:val="right"/>
      <w:rPr>
        <w:rFonts w:eastAsia="Calibri"/>
        <w:color w:val="000000"/>
        <w:sz w:val="16"/>
        <w:szCs w:val="16"/>
      </w:rPr>
    </w:pPr>
    <w:r w:rsidRPr="008D0239">
      <w:rPr>
        <w:rFonts w:eastAsia="Calibri"/>
        <w:color w:val="000000"/>
        <w:sz w:val="16"/>
        <w:szCs w:val="16"/>
      </w:rPr>
      <w:fldChar w:fldCharType="begin"/>
    </w:r>
    <w:r w:rsidRPr="00E50ABB">
      <w:rPr>
        <w:rFonts w:eastAsia="Calibri"/>
        <w:color w:val="000000"/>
        <w:sz w:val="16"/>
        <w:szCs w:val="16"/>
      </w:rPr>
      <w:instrText>PAGE</w:instrText>
    </w:r>
    <w:r w:rsidRPr="008D0239">
      <w:rPr>
        <w:rFonts w:eastAsia="Calibri"/>
        <w:color w:val="000000"/>
        <w:sz w:val="16"/>
        <w:szCs w:val="16"/>
      </w:rPr>
      <w:fldChar w:fldCharType="separate"/>
    </w:r>
    <w:r w:rsidR="000860ED">
      <w:rPr>
        <w:rFonts w:eastAsia="Calibri"/>
        <w:noProof/>
        <w:color w:val="000000"/>
        <w:sz w:val="16"/>
        <w:szCs w:val="16"/>
      </w:rPr>
      <w:t>2</w:t>
    </w:r>
    <w:r w:rsidRPr="008D0239">
      <w:rPr>
        <w:rFonts w:eastAsia="Calibri"/>
        <w:color w:val="000000"/>
        <w:sz w:val="16"/>
        <w:szCs w:val="16"/>
      </w:rPr>
      <w:fldChar w:fldCharType="end"/>
    </w:r>
  </w:p>
  <w:p w14:paraId="3BBEBFB0" w14:textId="77777777" w:rsidR="00441EC2" w:rsidRDefault="00441EC2">
    <w:pPr>
      <w:pBdr>
        <w:top w:val="nil"/>
        <w:left w:val="nil"/>
        <w:bottom w:val="nil"/>
        <w:right w:val="nil"/>
        <w:between w:val="nil"/>
      </w:pBdr>
      <w:tabs>
        <w:tab w:val="center" w:pos="4680"/>
        <w:tab w:val="right" w:pos="9360"/>
      </w:tabs>
      <w:ind w:right="360"/>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4230B" w14:textId="77777777" w:rsidR="0096438B" w:rsidRDefault="0096438B">
      <w:r>
        <w:separator/>
      </w:r>
    </w:p>
  </w:footnote>
  <w:footnote w:type="continuationSeparator" w:id="0">
    <w:p w14:paraId="7CC4BC8E" w14:textId="77777777" w:rsidR="0096438B" w:rsidRDefault="0096438B">
      <w:r>
        <w:continuationSeparator/>
      </w:r>
    </w:p>
  </w:footnote>
  <w:footnote w:type="continuationNotice" w:id="1">
    <w:p w14:paraId="02D1C793" w14:textId="77777777" w:rsidR="0096438B" w:rsidRDefault="009643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52FD" w14:textId="32792C0B" w:rsidR="001C45D2" w:rsidRDefault="00DF01A8">
    <w:pPr>
      <w:pBdr>
        <w:top w:val="nil"/>
        <w:left w:val="nil"/>
        <w:bottom w:val="nil"/>
        <w:right w:val="nil"/>
        <w:between w:val="nil"/>
      </w:pBdr>
      <w:tabs>
        <w:tab w:val="center" w:pos="4680"/>
        <w:tab w:val="right" w:pos="9360"/>
      </w:tabs>
      <w:jc w:val="center"/>
      <w:rPr>
        <w:rFonts w:eastAsia="Calibri"/>
        <w:color w:val="595959"/>
        <w:sz w:val="20"/>
        <w:szCs w:val="20"/>
      </w:rPr>
    </w:pPr>
    <w:r>
      <w:rPr>
        <w:rFonts w:ascii="Helvetica Neue" w:eastAsia="Helvetica Neue" w:hAnsi="Helvetica Neue" w:cs="Helvetica Neue"/>
        <w:color w:val="595959"/>
        <w:sz w:val="20"/>
        <w:szCs w:val="20"/>
      </w:rPr>
      <w:t xml:space="preserve">Asep </w:t>
    </w:r>
    <w:r w:rsidR="001448F3">
      <w:rPr>
        <w:rFonts w:ascii="Helvetica Neue" w:eastAsia="Helvetica Neue" w:hAnsi="Helvetica Neue" w:cs="Helvetica Neue"/>
        <w:color w:val="595959"/>
        <w:sz w:val="20"/>
        <w:szCs w:val="20"/>
      </w:rPr>
      <w:t>Medical Holdings Inc</w:t>
    </w:r>
    <w:r w:rsidR="001448F3">
      <w:rPr>
        <w:rFonts w:eastAsia="Calibri"/>
        <w:color w:val="595959"/>
        <w:sz w:val="20"/>
        <w:szCs w:val="20"/>
      </w:rPr>
      <w:t>.</w:t>
    </w:r>
  </w:p>
  <w:p w14:paraId="73A58E2F" w14:textId="0B8D46DF" w:rsidR="00441EC2" w:rsidRPr="004229C4" w:rsidRDefault="001448F3">
    <w:pPr>
      <w:pBdr>
        <w:top w:val="nil"/>
        <w:left w:val="nil"/>
        <w:bottom w:val="nil"/>
        <w:right w:val="nil"/>
        <w:between w:val="nil"/>
      </w:pBdr>
      <w:tabs>
        <w:tab w:val="center" w:pos="4680"/>
        <w:tab w:val="right" w:pos="9360"/>
      </w:tabs>
      <w:jc w:val="center"/>
      <w:rPr>
        <w:rFonts w:eastAsia="Calibri"/>
        <w:b/>
        <w:bCs/>
        <w:i/>
        <w:iCs/>
        <w:color w:val="000000"/>
        <w:sz w:val="20"/>
        <w:szCs w:val="20"/>
      </w:rPr>
    </w:pPr>
    <w:r w:rsidRPr="004229C4">
      <w:rPr>
        <w:b/>
        <w:bCs/>
        <w:i/>
        <w:iCs/>
        <w:noProof/>
        <w:lang w:eastAsia="en-CA"/>
      </w:rPr>
      <w:drawing>
        <wp:anchor distT="0" distB="0" distL="114300" distR="114300" simplePos="0" relativeHeight="251658240" behindDoc="0" locked="0" layoutInCell="1" hidden="0" allowOverlap="1" wp14:anchorId="0B7FB55F" wp14:editId="3D5DB9C1">
          <wp:simplePos x="0" y="0"/>
          <wp:positionH relativeFrom="column">
            <wp:posOffset>2179954</wp:posOffset>
          </wp:positionH>
          <wp:positionV relativeFrom="paragraph">
            <wp:posOffset>-955038</wp:posOffset>
          </wp:positionV>
          <wp:extent cx="1347470" cy="768350"/>
          <wp:effectExtent l="0" t="0" r="0" b="0"/>
          <wp:wrapSquare wrapText="bothSides" distT="0" distB="0" distL="114300" distR="114300"/>
          <wp:docPr id="6" name="Picture 6"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clipart&#10;&#10;Description automatically generated"/>
                  <pic:cNvPicPr preferRelativeResize="0"/>
                </pic:nvPicPr>
                <pic:blipFill>
                  <a:blip r:embed="rId1"/>
                  <a:srcRect/>
                  <a:stretch>
                    <a:fillRect/>
                  </a:stretch>
                </pic:blipFill>
                <pic:spPr>
                  <a:xfrm>
                    <a:off x="0" y="0"/>
                    <a:ext cx="1347470" cy="768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7FCA"/>
    <w:multiLevelType w:val="hybridMultilevel"/>
    <w:tmpl w:val="8DC091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3497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C2"/>
    <w:rsid w:val="000005DB"/>
    <w:rsid w:val="0000558A"/>
    <w:rsid w:val="00036098"/>
    <w:rsid w:val="00045F8A"/>
    <w:rsid w:val="000466BB"/>
    <w:rsid w:val="000618B4"/>
    <w:rsid w:val="00064D3E"/>
    <w:rsid w:val="00073C45"/>
    <w:rsid w:val="00074051"/>
    <w:rsid w:val="00075101"/>
    <w:rsid w:val="0008582B"/>
    <w:rsid w:val="00085AAA"/>
    <w:rsid w:val="000860ED"/>
    <w:rsid w:val="000A0C1E"/>
    <w:rsid w:val="000A76D3"/>
    <w:rsid w:val="000A7B6F"/>
    <w:rsid w:val="000C38D5"/>
    <w:rsid w:val="00114B89"/>
    <w:rsid w:val="00123D99"/>
    <w:rsid w:val="00133EE5"/>
    <w:rsid w:val="001448F3"/>
    <w:rsid w:val="00146BCA"/>
    <w:rsid w:val="00154297"/>
    <w:rsid w:val="00161B3A"/>
    <w:rsid w:val="001A120E"/>
    <w:rsid w:val="001B00BC"/>
    <w:rsid w:val="001B0A83"/>
    <w:rsid w:val="001B4EBC"/>
    <w:rsid w:val="001B5453"/>
    <w:rsid w:val="001B7678"/>
    <w:rsid w:val="001B7BD2"/>
    <w:rsid w:val="001C0476"/>
    <w:rsid w:val="001C391F"/>
    <w:rsid w:val="001C45D2"/>
    <w:rsid w:val="001D4A5F"/>
    <w:rsid w:val="001E6990"/>
    <w:rsid w:val="001F742F"/>
    <w:rsid w:val="002035A2"/>
    <w:rsid w:val="00212778"/>
    <w:rsid w:val="00233892"/>
    <w:rsid w:val="0023439B"/>
    <w:rsid w:val="002367D5"/>
    <w:rsid w:val="00237509"/>
    <w:rsid w:val="00241437"/>
    <w:rsid w:val="00246A9B"/>
    <w:rsid w:val="002628E1"/>
    <w:rsid w:val="00287A23"/>
    <w:rsid w:val="0029356B"/>
    <w:rsid w:val="0029476C"/>
    <w:rsid w:val="00297E33"/>
    <w:rsid w:val="002A33D2"/>
    <w:rsid w:val="002D4C51"/>
    <w:rsid w:val="002E08AC"/>
    <w:rsid w:val="002E4EA6"/>
    <w:rsid w:val="00307628"/>
    <w:rsid w:val="003606AC"/>
    <w:rsid w:val="00367EDC"/>
    <w:rsid w:val="003776B3"/>
    <w:rsid w:val="0038437B"/>
    <w:rsid w:val="003855A1"/>
    <w:rsid w:val="00387689"/>
    <w:rsid w:val="003A4241"/>
    <w:rsid w:val="003A4B2A"/>
    <w:rsid w:val="003B3E64"/>
    <w:rsid w:val="003C5888"/>
    <w:rsid w:val="003D06B1"/>
    <w:rsid w:val="003F3492"/>
    <w:rsid w:val="003F70BB"/>
    <w:rsid w:val="00402B47"/>
    <w:rsid w:val="00405039"/>
    <w:rsid w:val="004075D3"/>
    <w:rsid w:val="004115A9"/>
    <w:rsid w:val="00415E9E"/>
    <w:rsid w:val="004229C4"/>
    <w:rsid w:val="00432E8E"/>
    <w:rsid w:val="00440B42"/>
    <w:rsid w:val="00441EC2"/>
    <w:rsid w:val="004546E5"/>
    <w:rsid w:val="00461AA9"/>
    <w:rsid w:val="0046551E"/>
    <w:rsid w:val="004668CB"/>
    <w:rsid w:val="00470224"/>
    <w:rsid w:val="00476A63"/>
    <w:rsid w:val="00485981"/>
    <w:rsid w:val="004974B0"/>
    <w:rsid w:val="004A34F0"/>
    <w:rsid w:val="004A58A6"/>
    <w:rsid w:val="004A5E2B"/>
    <w:rsid w:val="004A61EB"/>
    <w:rsid w:val="004C2223"/>
    <w:rsid w:val="004C79FA"/>
    <w:rsid w:val="004C7E98"/>
    <w:rsid w:val="004F0907"/>
    <w:rsid w:val="004F5DA2"/>
    <w:rsid w:val="00520E9D"/>
    <w:rsid w:val="005217A4"/>
    <w:rsid w:val="00534F18"/>
    <w:rsid w:val="00583689"/>
    <w:rsid w:val="005A3802"/>
    <w:rsid w:val="005A68BF"/>
    <w:rsid w:val="005A7E3E"/>
    <w:rsid w:val="005B07F0"/>
    <w:rsid w:val="005D6B93"/>
    <w:rsid w:val="005E6BB7"/>
    <w:rsid w:val="00602C61"/>
    <w:rsid w:val="00605D01"/>
    <w:rsid w:val="00622F22"/>
    <w:rsid w:val="0062525A"/>
    <w:rsid w:val="00633E9B"/>
    <w:rsid w:val="006340C7"/>
    <w:rsid w:val="00634671"/>
    <w:rsid w:val="00635D2F"/>
    <w:rsid w:val="00637B34"/>
    <w:rsid w:val="00637C2F"/>
    <w:rsid w:val="00650313"/>
    <w:rsid w:val="00651EBE"/>
    <w:rsid w:val="00671481"/>
    <w:rsid w:val="0068082C"/>
    <w:rsid w:val="00680D8D"/>
    <w:rsid w:val="00686C6E"/>
    <w:rsid w:val="006C381C"/>
    <w:rsid w:val="006C557E"/>
    <w:rsid w:val="006D7567"/>
    <w:rsid w:val="006E097E"/>
    <w:rsid w:val="006E111B"/>
    <w:rsid w:val="006F47A4"/>
    <w:rsid w:val="006F73A4"/>
    <w:rsid w:val="00703E3A"/>
    <w:rsid w:val="00713BAD"/>
    <w:rsid w:val="00722C1B"/>
    <w:rsid w:val="0072415F"/>
    <w:rsid w:val="00745A5C"/>
    <w:rsid w:val="007503DD"/>
    <w:rsid w:val="00751E67"/>
    <w:rsid w:val="00790C86"/>
    <w:rsid w:val="007A63B7"/>
    <w:rsid w:val="007B327A"/>
    <w:rsid w:val="007C1C82"/>
    <w:rsid w:val="007C6EFD"/>
    <w:rsid w:val="007E4CDE"/>
    <w:rsid w:val="00806A0E"/>
    <w:rsid w:val="00812701"/>
    <w:rsid w:val="00817020"/>
    <w:rsid w:val="00827385"/>
    <w:rsid w:val="008302FD"/>
    <w:rsid w:val="00835BF7"/>
    <w:rsid w:val="00836511"/>
    <w:rsid w:val="00872594"/>
    <w:rsid w:val="0087588D"/>
    <w:rsid w:val="008979D2"/>
    <w:rsid w:val="008A12E2"/>
    <w:rsid w:val="008A193E"/>
    <w:rsid w:val="008A3669"/>
    <w:rsid w:val="008B138F"/>
    <w:rsid w:val="008C4415"/>
    <w:rsid w:val="008C4468"/>
    <w:rsid w:val="008D0239"/>
    <w:rsid w:val="008D0886"/>
    <w:rsid w:val="008D3DB1"/>
    <w:rsid w:val="008E0F4F"/>
    <w:rsid w:val="008E3B05"/>
    <w:rsid w:val="008E701C"/>
    <w:rsid w:val="008F4B9E"/>
    <w:rsid w:val="00901ECF"/>
    <w:rsid w:val="00917686"/>
    <w:rsid w:val="00921300"/>
    <w:rsid w:val="009225B3"/>
    <w:rsid w:val="00957C0C"/>
    <w:rsid w:val="0096438B"/>
    <w:rsid w:val="009700EC"/>
    <w:rsid w:val="00971888"/>
    <w:rsid w:val="00977DF6"/>
    <w:rsid w:val="00983DCE"/>
    <w:rsid w:val="009853F4"/>
    <w:rsid w:val="009872C6"/>
    <w:rsid w:val="009A5C58"/>
    <w:rsid w:val="009A6A86"/>
    <w:rsid w:val="009B0097"/>
    <w:rsid w:val="009B18C7"/>
    <w:rsid w:val="00A16B21"/>
    <w:rsid w:val="00A214B3"/>
    <w:rsid w:val="00A22FC2"/>
    <w:rsid w:val="00A458AB"/>
    <w:rsid w:val="00A50CC2"/>
    <w:rsid w:val="00A5114B"/>
    <w:rsid w:val="00A71557"/>
    <w:rsid w:val="00A95584"/>
    <w:rsid w:val="00A96DD5"/>
    <w:rsid w:val="00AA3A2C"/>
    <w:rsid w:val="00AB296E"/>
    <w:rsid w:val="00AC319C"/>
    <w:rsid w:val="00AD452A"/>
    <w:rsid w:val="00AE3130"/>
    <w:rsid w:val="00AE7B59"/>
    <w:rsid w:val="00B022F5"/>
    <w:rsid w:val="00B07A8F"/>
    <w:rsid w:val="00B3168C"/>
    <w:rsid w:val="00B33E86"/>
    <w:rsid w:val="00B3611A"/>
    <w:rsid w:val="00B56B7F"/>
    <w:rsid w:val="00B64F06"/>
    <w:rsid w:val="00BB6168"/>
    <w:rsid w:val="00BC67AE"/>
    <w:rsid w:val="00BD0DC3"/>
    <w:rsid w:val="00BD4F4D"/>
    <w:rsid w:val="00BD6FC6"/>
    <w:rsid w:val="00BE50F2"/>
    <w:rsid w:val="00C03185"/>
    <w:rsid w:val="00C26AD7"/>
    <w:rsid w:val="00C37A2E"/>
    <w:rsid w:val="00C55040"/>
    <w:rsid w:val="00C555FD"/>
    <w:rsid w:val="00C55E49"/>
    <w:rsid w:val="00C56674"/>
    <w:rsid w:val="00C67A6A"/>
    <w:rsid w:val="00C7275C"/>
    <w:rsid w:val="00C940D3"/>
    <w:rsid w:val="00CB6F29"/>
    <w:rsid w:val="00CB702C"/>
    <w:rsid w:val="00CC7E26"/>
    <w:rsid w:val="00CD35BF"/>
    <w:rsid w:val="00CE7B23"/>
    <w:rsid w:val="00D0246D"/>
    <w:rsid w:val="00D04DC4"/>
    <w:rsid w:val="00D04E95"/>
    <w:rsid w:val="00D057CB"/>
    <w:rsid w:val="00D248F1"/>
    <w:rsid w:val="00D27B8F"/>
    <w:rsid w:val="00D60222"/>
    <w:rsid w:val="00D6254B"/>
    <w:rsid w:val="00D74523"/>
    <w:rsid w:val="00D961AA"/>
    <w:rsid w:val="00DA0D96"/>
    <w:rsid w:val="00DC228C"/>
    <w:rsid w:val="00DC357D"/>
    <w:rsid w:val="00DC5A2E"/>
    <w:rsid w:val="00DD33D2"/>
    <w:rsid w:val="00DD5EA6"/>
    <w:rsid w:val="00DD6A10"/>
    <w:rsid w:val="00DD70C5"/>
    <w:rsid w:val="00DF01A8"/>
    <w:rsid w:val="00DF350E"/>
    <w:rsid w:val="00DF510D"/>
    <w:rsid w:val="00DF6A5C"/>
    <w:rsid w:val="00E03A4B"/>
    <w:rsid w:val="00E23489"/>
    <w:rsid w:val="00E23807"/>
    <w:rsid w:val="00E23E19"/>
    <w:rsid w:val="00E25797"/>
    <w:rsid w:val="00E30391"/>
    <w:rsid w:val="00E36A25"/>
    <w:rsid w:val="00E40E42"/>
    <w:rsid w:val="00E42BF5"/>
    <w:rsid w:val="00E45A10"/>
    <w:rsid w:val="00E45A85"/>
    <w:rsid w:val="00E46F1E"/>
    <w:rsid w:val="00E50ABB"/>
    <w:rsid w:val="00E5484F"/>
    <w:rsid w:val="00E561B3"/>
    <w:rsid w:val="00E67E53"/>
    <w:rsid w:val="00E7492A"/>
    <w:rsid w:val="00E750DA"/>
    <w:rsid w:val="00E760B5"/>
    <w:rsid w:val="00E82E2D"/>
    <w:rsid w:val="00E8425A"/>
    <w:rsid w:val="00E860FF"/>
    <w:rsid w:val="00E96921"/>
    <w:rsid w:val="00EA1616"/>
    <w:rsid w:val="00EA235C"/>
    <w:rsid w:val="00EB289C"/>
    <w:rsid w:val="00EC12DD"/>
    <w:rsid w:val="00EE1C82"/>
    <w:rsid w:val="00EE6A08"/>
    <w:rsid w:val="00EF38DF"/>
    <w:rsid w:val="00EF7A39"/>
    <w:rsid w:val="00F0214F"/>
    <w:rsid w:val="00F406B1"/>
    <w:rsid w:val="00F42712"/>
    <w:rsid w:val="00F506E4"/>
    <w:rsid w:val="00F563CB"/>
    <w:rsid w:val="00F62EE5"/>
    <w:rsid w:val="00F70279"/>
    <w:rsid w:val="00F8755A"/>
    <w:rsid w:val="00F951F9"/>
    <w:rsid w:val="00FA3D79"/>
    <w:rsid w:val="00FB2064"/>
    <w:rsid w:val="00FB2F76"/>
    <w:rsid w:val="00FC4217"/>
    <w:rsid w:val="00FE3A50"/>
    <w:rsid w:val="00FF6A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B1BB"/>
  <w15:docId w15:val="{19899781-FDB1-FD48-B7AC-5B6C243D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31F5C"/>
    <w:pPr>
      <w:tabs>
        <w:tab w:val="center" w:pos="4680"/>
        <w:tab w:val="right" w:pos="9360"/>
      </w:tabs>
    </w:pPr>
  </w:style>
  <w:style w:type="character" w:customStyle="1" w:styleId="HeaderChar">
    <w:name w:val="Header Char"/>
    <w:basedOn w:val="DefaultParagraphFont"/>
    <w:link w:val="Header"/>
    <w:uiPriority w:val="99"/>
    <w:rsid w:val="00531F5C"/>
  </w:style>
  <w:style w:type="paragraph" w:styleId="Footer">
    <w:name w:val="footer"/>
    <w:basedOn w:val="Normal"/>
    <w:link w:val="FooterChar"/>
    <w:uiPriority w:val="99"/>
    <w:unhideWhenUsed/>
    <w:rsid w:val="00531F5C"/>
    <w:pPr>
      <w:tabs>
        <w:tab w:val="center" w:pos="4680"/>
        <w:tab w:val="right" w:pos="9360"/>
      </w:tabs>
    </w:pPr>
  </w:style>
  <w:style w:type="character" w:customStyle="1" w:styleId="FooterChar">
    <w:name w:val="Footer Char"/>
    <w:basedOn w:val="DefaultParagraphFont"/>
    <w:link w:val="Footer"/>
    <w:uiPriority w:val="99"/>
    <w:rsid w:val="00531F5C"/>
  </w:style>
  <w:style w:type="paragraph" w:styleId="NormalWeb">
    <w:name w:val="Normal (Web)"/>
    <w:basedOn w:val="Normal"/>
    <w:uiPriority w:val="99"/>
    <w:unhideWhenUsed/>
    <w:rsid w:val="00531F5C"/>
    <w:pPr>
      <w:spacing w:before="100" w:beforeAutospacing="1" w:after="100" w:afterAutospacing="1"/>
    </w:pPr>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531F5C"/>
  </w:style>
  <w:style w:type="character" w:styleId="CommentReference">
    <w:name w:val="annotation reference"/>
    <w:basedOn w:val="DefaultParagraphFont"/>
    <w:uiPriority w:val="99"/>
    <w:semiHidden/>
    <w:unhideWhenUsed/>
    <w:rsid w:val="00181FE2"/>
    <w:rPr>
      <w:sz w:val="16"/>
      <w:szCs w:val="16"/>
    </w:rPr>
  </w:style>
  <w:style w:type="paragraph" w:styleId="CommentText">
    <w:name w:val="annotation text"/>
    <w:basedOn w:val="Normal"/>
    <w:link w:val="CommentTextChar"/>
    <w:uiPriority w:val="99"/>
    <w:unhideWhenUsed/>
    <w:rsid w:val="00181FE2"/>
    <w:pPr>
      <w:widowControl w:val="0"/>
    </w:pPr>
    <w:rPr>
      <w:rFonts w:eastAsia="Times New Roman" w:cs="Times New Roman"/>
      <w:snapToGrid w:val="0"/>
      <w:sz w:val="20"/>
      <w:szCs w:val="20"/>
      <w:lang w:val="en-US"/>
    </w:rPr>
  </w:style>
  <w:style w:type="character" w:customStyle="1" w:styleId="CommentTextChar">
    <w:name w:val="Comment Text Char"/>
    <w:basedOn w:val="DefaultParagraphFont"/>
    <w:link w:val="CommentText"/>
    <w:uiPriority w:val="99"/>
    <w:rsid w:val="00181FE2"/>
    <w:rPr>
      <w:rFonts w:eastAsia="Times New Roman" w:cs="Times New Roman"/>
      <w:snapToGrid w:val="0"/>
      <w:sz w:val="20"/>
      <w:szCs w:val="20"/>
      <w:lang w:val="en-US"/>
    </w:rPr>
  </w:style>
  <w:style w:type="paragraph" w:styleId="NoSpacing">
    <w:name w:val="No Spacing"/>
    <w:uiPriority w:val="1"/>
    <w:qFormat/>
    <w:rsid w:val="00FF59C4"/>
    <w:rPr>
      <w:rFonts w:eastAsiaTheme="minorEastAsia"/>
    </w:rPr>
  </w:style>
  <w:style w:type="character" w:styleId="Hyperlink">
    <w:name w:val="Hyperlink"/>
    <w:basedOn w:val="DefaultParagraphFont"/>
    <w:uiPriority w:val="99"/>
    <w:unhideWhenUsed/>
    <w:rsid w:val="002B7F34"/>
    <w:rPr>
      <w:color w:val="0563C1" w:themeColor="hyperlink"/>
      <w:u w:val="single"/>
    </w:rPr>
  </w:style>
  <w:style w:type="character" w:customStyle="1" w:styleId="UnresolvedMention1">
    <w:name w:val="Unresolved Mention1"/>
    <w:basedOn w:val="DefaultParagraphFont"/>
    <w:uiPriority w:val="99"/>
    <w:semiHidden/>
    <w:unhideWhenUsed/>
    <w:rsid w:val="002B7F34"/>
    <w:rPr>
      <w:color w:val="605E5C"/>
      <w:shd w:val="clear" w:color="auto" w:fill="E1DFDD"/>
    </w:rPr>
  </w:style>
  <w:style w:type="character" w:styleId="FollowedHyperlink">
    <w:name w:val="FollowedHyperlink"/>
    <w:basedOn w:val="DefaultParagraphFont"/>
    <w:uiPriority w:val="99"/>
    <w:semiHidden/>
    <w:unhideWhenUsed/>
    <w:rsid w:val="005A593A"/>
    <w:rPr>
      <w:color w:val="954F72" w:themeColor="followedHyperlink"/>
      <w:u w:val="single"/>
    </w:rPr>
  </w:style>
  <w:style w:type="paragraph" w:styleId="Revision">
    <w:name w:val="Revision"/>
    <w:hidden/>
    <w:uiPriority w:val="99"/>
    <w:semiHidden/>
    <w:rsid w:val="00B42EF0"/>
    <w:rPr>
      <w:rFonts w:eastAsiaTheme="minorEastAsia"/>
    </w:rPr>
  </w:style>
  <w:style w:type="paragraph" w:styleId="CommentSubject">
    <w:name w:val="annotation subject"/>
    <w:basedOn w:val="CommentText"/>
    <w:next w:val="CommentText"/>
    <w:link w:val="CommentSubjectChar"/>
    <w:uiPriority w:val="99"/>
    <w:semiHidden/>
    <w:unhideWhenUsed/>
    <w:rsid w:val="00B42EF0"/>
    <w:pPr>
      <w:widowControl/>
    </w:pPr>
    <w:rPr>
      <w:rFonts w:eastAsiaTheme="minorEastAsia" w:cstheme="minorBidi"/>
      <w:b/>
      <w:bCs/>
      <w:snapToGrid/>
      <w:lang w:val="en-CA"/>
    </w:rPr>
  </w:style>
  <w:style w:type="character" w:customStyle="1" w:styleId="CommentSubjectChar">
    <w:name w:val="Comment Subject Char"/>
    <w:basedOn w:val="CommentTextChar"/>
    <w:link w:val="CommentSubject"/>
    <w:uiPriority w:val="99"/>
    <w:semiHidden/>
    <w:rsid w:val="00B42EF0"/>
    <w:rPr>
      <w:rFonts w:eastAsiaTheme="minorEastAsia" w:cs="Times New Roman"/>
      <w:b/>
      <w:bCs/>
      <w:snapToGrid/>
      <w:sz w:val="20"/>
      <w:szCs w:val="20"/>
      <w:lang w:val="en-US"/>
    </w:rPr>
  </w:style>
  <w:style w:type="paragraph" w:styleId="BodyText">
    <w:name w:val="Body Text"/>
    <w:basedOn w:val="Normal"/>
    <w:link w:val="BodyTextChar"/>
    <w:uiPriority w:val="99"/>
    <w:semiHidden/>
    <w:unhideWhenUsed/>
    <w:rsid w:val="008C30E5"/>
    <w:pPr>
      <w:spacing w:after="120"/>
    </w:pPr>
  </w:style>
  <w:style w:type="character" w:customStyle="1" w:styleId="BodyTextChar">
    <w:name w:val="Body Text Char"/>
    <w:basedOn w:val="DefaultParagraphFont"/>
    <w:link w:val="BodyText"/>
    <w:uiPriority w:val="99"/>
    <w:semiHidden/>
    <w:rsid w:val="008C30E5"/>
    <w:rPr>
      <w:rFonts w:eastAsiaTheme="minorEastAsia"/>
    </w:rPr>
  </w:style>
  <w:style w:type="paragraph" w:styleId="BalloonText">
    <w:name w:val="Balloon Text"/>
    <w:basedOn w:val="Normal"/>
    <w:link w:val="BalloonTextChar"/>
    <w:uiPriority w:val="99"/>
    <w:semiHidden/>
    <w:unhideWhenUsed/>
    <w:rsid w:val="008C30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0E5"/>
    <w:rPr>
      <w:rFonts w:ascii="Segoe UI" w:eastAsiaTheme="minorEastAsia"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white-space-pre">
    <w:name w:val="white-space-pre"/>
    <w:basedOn w:val="DefaultParagraphFont"/>
    <w:rsid w:val="00E45A85"/>
  </w:style>
  <w:style w:type="paragraph" w:customStyle="1" w:styleId="xxxmsonormal">
    <w:name w:val="x_xxmsonormal"/>
    <w:basedOn w:val="Normal"/>
    <w:rsid w:val="00D74523"/>
    <w:rPr>
      <w:rFonts w:eastAsiaTheme="minorHAnsi"/>
      <w:sz w:val="22"/>
      <w:szCs w:val="22"/>
      <w:lang w:eastAsia="en-CA"/>
    </w:rPr>
  </w:style>
  <w:style w:type="paragraph" w:styleId="ListParagraph">
    <w:name w:val="List Paragraph"/>
    <w:basedOn w:val="Normal"/>
    <w:uiPriority w:val="34"/>
    <w:qFormat/>
    <w:rsid w:val="009B00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5932">
      <w:bodyDiv w:val="1"/>
      <w:marLeft w:val="0"/>
      <w:marRight w:val="0"/>
      <w:marTop w:val="0"/>
      <w:marBottom w:val="0"/>
      <w:divBdr>
        <w:top w:val="none" w:sz="0" w:space="0" w:color="auto"/>
        <w:left w:val="none" w:sz="0" w:space="0" w:color="auto"/>
        <w:bottom w:val="none" w:sz="0" w:space="0" w:color="auto"/>
        <w:right w:val="none" w:sz="0" w:space="0" w:color="auto"/>
      </w:divBdr>
    </w:div>
    <w:div w:id="49159246">
      <w:bodyDiv w:val="1"/>
      <w:marLeft w:val="0"/>
      <w:marRight w:val="0"/>
      <w:marTop w:val="0"/>
      <w:marBottom w:val="0"/>
      <w:divBdr>
        <w:top w:val="none" w:sz="0" w:space="0" w:color="auto"/>
        <w:left w:val="none" w:sz="0" w:space="0" w:color="auto"/>
        <w:bottom w:val="none" w:sz="0" w:space="0" w:color="auto"/>
        <w:right w:val="none" w:sz="0" w:space="0" w:color="auto"/>
      </w:divBdr>
    </w:div>
    <w:div w:id="256064590">
      <w:bodyDiv w:val="1"/>
      <w:marLeft w:val="0"/>
      <w:marRight w:val="0"/>
      <w:marTop w:val="0"/>
      <w:marBottom w:val="0"/>
      <w:divBdr>
        <w:top w:val="none" w:sz="0" w:space="0" w:color="auto"/>
        <w:left w:val="none" w:sz="0" w:space="0" w:color="auto"/>
        <w:bottom w:val="none" w:sz="0" w:space="0" w:color="auto"/>
        <w:right w:val="none" w:sz="0" w:space="0" w:color="auto"/>
      </w:divBdr>
    </w:div>
    <w:div w:id="619142312">
      <w:bodyDiv w:val="1"/>
      <w:marLeft w:val="0"/>
      <w:marRight w:val="0"/>
      <w:marTop w:val="0"/>
      <w:marBottom w:val="0"/>
      <w:divBdr>
        <w:top w:val="none" w:sz="0" w:space="0" w:color="auto"/>
        <w:left w:val="none" w:sz="0" w:space="0" w:color="auto"/>
        <w:bottom w:val="none" w:sz="0" w:space="0" w:color="auto"/>
        <w:right w:val="none" w:sz="0" w:space="0" w:color="auto"/>
      </w:divBdr>
    </w:div>
    <w:div w:id="1139037641">
      <w:bodyDiv w:val="1"/>
      <w:marLeft w:val="0"/>
      <w:marRight w:val="0"/>
      <w:marTop w:val="0"/>
      <w:marBottom w:val="0"/>
      <w:divBdr>
        <w:top w:val="none" w:sz="0" w:space="0" w:color="auto"/>
        <w:left w:val="none" w:sz="0" w:space="0" w:color="auto"/>
        <w:bottom w:val="none" w:sz="0" w:space="0" w:color="auto"/>
        <w:right w:val="none" w:sz="0" w:space="0" w:color="auto"/>
      </w:divBdr>
    </w:div>
    <w:div w:id="1157307393">
      <w:bodyDiv w:val="1"/>
      <w:marLeft w:val="0"/>
      <w:marRight w:val="0"/>
      <w:marTop w:val="0"/>
      <w:marBottom w:val="0"/>
      <w:divBdr>
        <w:top w:val="none" w:sz="0" w:space="0" w:color="auto"/>
        <w:left w:val="none" w:sz="0" w:space="0" w:color="auto"/>
        <w:bottom w:val="none" w:sz="0" w:space="0" w:color="auto"/>
        <w:right w:val="none" w:sz="0" w:space="0" w:color="auto"/>
      </w:divBdr>
    </w:div>
    <w:div w:id="1534807915">
      <w:bodyDiv w:val="1"/>
      <w:marLeft w:val="0"/>
      <w:marRight w:val="0"/>
      <w:marTop w:val="0"/>
      <w:marBottom w:val="0"/>
      <w:divBdr>
        <w:top w:val="none" w:sz="0" w:space="0" w:color="auto"/>
        <w:left w:val="none" w:sz="0" w:space="0" w:color="auto"/>
        <w:bottom w:val="none" w:sz="0" w:space="0" w:color="auto"/>
        <w:right w:val="none" w:sz="0" w:space="0" w:color="auto"/>
      </w:divBdr>
    </w:div>
    <w:div w:id="1594046155">
      <w:bodyDiv w:val="1"/>
      <w:marLeft w:val="0"/>
      <w:marRight w:val="0"/>
      <w:marTop w:val="0"/>
      <w:marBottom w:val="0"/>
      <w:divBdr>
        <w:top w:val="none" w:sz="0" w:space="0" w:color="auto"/>
        <w:left w:val="none" w:sz="0" w:space="0" w:color="auto"/>
        <w:bottom w:val="none" w:sz="0" w:space="0" w:color="auto"/>
        <w:right w:val="none" w:sz="0" w:space="0" w:color="auto"/>
      </w:divBdr>
    </w:div>
    <w:div w:id="1894735881">
      <w:bodyDiv w:val="1"/>
      <w:marLeft w:val="0"/>
      <w:marRight w:val="0"/>
      <w:marTop w:val="0"/>
      <w:marBottom w:val="0"/>
      <w:divBdr>
        <w:top w:val="none" w:sz="0" w:space="0" w:color="auto"/>
        <w:left w:val="none" w:sz="0" w:space="0" w:color="auto"/>
        <w:bottom w:val="none" w:sz="0" w:space="0" w:color="auto"/>
        <w:right w:val="none" w:sz="0" w:space="0" w:color="auto"/>
      </w:divBdr>
    </w:div>
    <w:div w:id="200030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hris@asepmedica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ib+OahkF4oAd76ZDvgBBXrkv5fA==">AMUW2mWbBiyapDxD+jiMHgpcrqdqBfB8p1LOK3sNHz4r059dcD/DMsPt7z6t6hFVUoYgVp/WdSiBddN5ADgxxe1d+y86vtzWdjtl5nj/wjARnBtp2wusitw=</go:docsCustomData>
</go:gDocsCustomXmlDataStorage>
</file>

<file path=customXml/itemProps1.xml><?xml version="1.0" encoding="utf-8"?>
<ds:datastoreItem xmlns:ds="http://schemas.openxmlformats.org/officeDocument/2006/customXml" ds:itemID="{FC99804E-5FC6-4278-9A97-BF9ED27FC3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889</Words>
  <Characters>5189</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Dallin</dc:creator>
  <dc:description>52306-0001</dc:description>
  <cp:lastModifiedBy>Chris Dallin</cp:lastModifiedBy>
  <cp:revision>5</cp:revision>
  <dcterms:created xsi:type="dcterms:W3CDTF">2026-06-11T22:14:00Z</dcterms:created>
  <dcterms:modified xsi:type="dcterms:W3CDTF">2026-06-15T17:36:00Z</dcterms:modified>
</cp:coreProperties>
</file>