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E6492B" w14:textId="77777777" w:rsidR="00B0294D" w:rsidRDefault="00B0294D">
      <w:pPr>
        <w:pStyle w:val="BodyText"/>
        <w:spacing w:before="38"/>
        <w:rPr>
          <w:rFonts w:ascii="Times New Roman"/>
        </w:rPr>
      </w:pPr>
    </w:p>
    <w:p w14:paraId="29D74674" w14:textId="712AA7D2" w:rsidR="00B0294D" w:rsidRPr="005D7532" w:rsidRDefault="00A0745E" w:rsidP="005D7532">
      <w:pPr>
        <w:pStyle w:val="Heading1"/>
        <w:ind w:left="2" w:right="2"/>
        <w:jc w:val="center"/>
      </w:pPr>
      <w:r>
        <w:rPr>
          <w:u w:val="single"/>
        </w:rPr>
        <w:t>FOR</w:t>
      </w:r>
      <w:r>
        <w:rPr>
          <w:spacing w:val="-1"/>
          <w:u w:val="single"/>
        </w:rPr>
        <w:t xml:space="preserve"> </w:t>
      </w:r>
      <w:r>
        <w:rPr>
          <w:u w:val="single"/>
        </w:rPr>
        <w:t>IMMEDIATE</w:t>
      </w:r>
      <w:r>
        <w:rPr>
          <w:spacing w:val="-3"/>
          <w:u w:val="single"/>
        </w:rPr>
        <w:t xml:space="preserve"> </w:t>
      </w:r>
      <w:r>
        <w:rPr>
          <w:spacing w:val="-2"/>
          <w:u w:val="single"/>
        </w:rPr>
        <w:t>RELEASE</w:t>
      </w:r>
      <w:r w:rsidR="005D7532">
        <w:rPr>
          <w:spacing w:val="-2"/>
          <w:u w:val="single"/>
        </w:rPr>
        <w:br/>
      </w:r>
    </w:p>
    <w:p w14:paraId="42B69AFF" w14:textId="18287183" w:rsidR="00D14E7B" w:rsidRDefault="00A0745E" w:rsidP="008C7F25">
      <w:pPr>
        <w:pStyle w:val="Title"/>
      </w:pPr>
      <w:r>
        <w:t>Asep</w:t>
      </w:r>
      <w:r>
        <w:rPr>
          <w:spacing w:val="-5"/>
        </w:rPr>
        <w:t xml:space="preserve"> </w:t>
      </w:r>
      <w:r>
        <w:t>Medical</w:t>
      </w:r>
      <w:r>
        <w:rPr>
          <w:spacing w:val="-2"/>
        </w:rPr>
        <w:t xml:space="preserve"> </w:t>
      </w:r>
      <w:r w:rsidRPr="00D756E5">
        <w:t xml:space="preserve">Announces </w:t>
      </w:r>
      <w:r w:rsidR="00682A08">
        <w:t>LIFE FINANCING</w:t>
      </w:r>
    </w:p>
    <w:p w14:paraId="7264EDB8" w14:textId="77777777" w:rsidR="00B0294D" w:rsidRDefault="00B0294D" w:rsidP="00DE538F">
      <w:pPr>
        <w:pStyle w:val="BodyText"/>
        <w:rPr>
          <w:b/>
          <w:sz w:val="28"/>
        </w:rPr>
      </w:pPr>
    </w:p>
    <w:p w14:paraId="6835913E" w14:textId="3B5B187D" w:rsidR="00682A08" w:rsidRDefault="00A0745E" w:rsidP="005D7532">
      <w:pPr>
        <w:spacing w:after="240" w:line="360" w:lineRule="auto"/>
        <w:rPr>
          <w:sz w:val="20"/>
          <w:szCs w:val="20"/>
        </w:rPr>
      </w:pPr>
      <w:r w:rsidRPr="0042765A">
        <w:rPr>
          <w:sz w:val="20"/>
          <w:szCs w:val="20"/>
        </w:rPr>
        <w:t>VANCOUVER,</w:t>
      </w:r>
      <w:r w:rsidRPr="0042765A">
        <w:rPr>
          <w:spacing w:val="-3"/>
          <w:sz w:val="20"/>
          <w:szCs w:val="20"/>
        </w:rPr>
        <w:t xml:space="preserve"> </w:t>
      </w:r>
      <w:r w:rsidRPr="0042765A">
        <w:rPr>
          <w:sz w:val="20"/>
          <w:szCs w:val="20"/>
        </w:rPr>
        <w:t>BC,</w:t>
      </w:r>
      <w:r w:rsidRPr="0042765A">
        <w:rPr>
          <w:spacing w:val="-1"/>
          <w:sz w:val="20"/>
          <w:szCs w:val="20"/>
        </w:rPr>
        <w:t xml:space="preserve"> </w:t>
      </w:r>
      <w:r w:rsidR="00F711AA">
        <w:rPr>
          <w:sz w:val="20"/>
          <w:szCs w:val="20"/>
        </w:rPr>
        <w:t xml:space="preserve">October </w:t>
      </w:r>
      <w:r w:rsidR="005E689E">
        <w:rPr>
          <w:sz w:val="20"/>
          <w:szCs w:val="20"/>
        </w:rPr>
        <w:t>9</w:t>
      </w:r>
      <w:r w:rsidRPr="0042765A">
        <w:rPr>
          <w:sz w:val="20"/>
          <w:szCs w:val="20"/>
        </w:rPr>
        <w:t>,</w:t>
      </w:r>
      <w:r w:rsidRPr="0042765A">
        <w:rPr>
          <w:spacing w:val="-2"/>
          <w:sz w:val="20"/>
          <w:szCs w:val="20"/>
        </w:rPr>
        <w:t xml:space="preserve"> </w:t>
      </w:r>
      <w:r w:rsidRPr="0042765A">
        <w:rPr>
          <w:sz w:val="20"/>
          <w:szCs w:val="20"/>
        </w:rPr>
        <w:t>2026</w:t>
      </w:r>
      <w:r w:rsidRPr="0042765A">
        <w:rPr>
          <w:spacing w:val="-5"/>
          <w:sz w:val="20"/>
          <w:szCs w:val="20"/>
        </w:rPr>
        <w:t xml:space="preserve"> </w:t>
      </w:r>
      <w:r w:rsidRPr="0042765A">
        <w:rPr>
          <w:sz w:val="20"/>
          <w:szCs w:val="20"/>
        </w:rPr>
        <w:t>—</w:t>
      </w:r>
      <w:r w:rsidRPr="0042765A">
        <w:rPr>
          <w:spacing w:val="1"/>
          <w:sz w:val="20"/>
          <w:szCs w:val="20"/>
        </w:rPr>
        <w:t xml:space="preserve"> </w:t>
      </w:r>
      <w:r w:rsidRPr="0042765A">
        <w:rPr>
          <w:b/>
          <w:bCs/>
          <w:sz w:val="20"/>
          <w:szCs w:val="20"/>
        </w:rPr>
        <w:t>Asep</w:t>
      </w:r>
      <w:r w:rsidRPr="0042765A">
        <w:rPr>
          <w:b/>
          <w:bCs/>
          <w:spacing w:val="-1"/>
          <w:sz w:val="20"/>
          <w:szCs w:val="20"/>
        </w:rPr>
        <w:t xml:space="preserve"> </w:t>
      </w:r>
      <w:r w:rsidRPr="0042765A">
        <w:rPr>
          <w:b/>
          <w:bCs/>
          <w:sz w:val="20"/>
          <w:szCs w:val="20"/>
        </w:rPr>
        <w:t>Medical</w:t>
      </w:r>
      <w:r w:rsidRPr="0042765A">
        <w:rPr>
          <w:b/>
          <w:bCs/>
          <w:spacing w:val="-2"/>
          <w:sz w:val="20"/>
          <w:szCs w:val="20"/>
        </w:rPr>
        <w:t xml:space="preserve"> </w:t>
      </w:r>
      <w:r w:rsidRPr="0042765A">
        <w:rPr>
          <w:b/>
          <w:bCs/>
          <w:sz w:val="20"/>
          <w:szCs w:val="20"/>
        </w:rPr>
        <w:t>Holdings</w:t>
      </w:r>
      <w:r w:rsidRPr="0042765A">
        <w:rPr>
          <w:b/>
          <w:bCs/>
          <w:spacing w:val="-3"/>
          <w:sz w:val="20"/>
          <w:szCs w:val="20"/>
        </w:rPr>
        <w:t xml:space="preserve"> </w:t>
      </w:r>
      <w:r w:rsidRPr="0042765A">
        <w:rPr>
          <w:b/>
          <w:bCs/>
          <w:sz w:val="20"/>
          <w:szCs w:val="20"/>
        </w:rPr>
        <w:t>Inc.</w:t>
      </w:r>
      <w:r w:rsidRPr="0042765A">
        <w:rPr>
          <w:b/>
          <w:bCs/>
          <w:spacing w:val="-1"/>
          <w:sz w:val="20"/>
          <w:szCs w:val="20"/>
        </w:rPr>
        <w:t xml:space="preserve"> </w:t>
      </w:r>
      <w:r w:rsidRPr="0042765A">
        <w:rPr>
          <w:b/>
          <w:bCs/>
          <w:sz w:val="20"/>
          <w:szCs w:val="20"/>
        </w:rPr>
        <w:t>(“Asep”</w:t>
      </w:r>
      <w:r w:rsidRPr="0042765A">
        <w:rPr>
          <w:b/>
          <w:bCs/>
          <w:spacing w:val="-2"/>
          <w:sz w:val="20"/>
          <w:szCs w:val="20"/>
        </w:rPr>
        <w:t xml:space="preserve"> </w:t>
      </w:r>
      <w:r w:rsidRPr="0042765A">
        <w:rPr>
          <w:sz w:val="20"/>
          <w:szCs w:val="20"/>
        </w:rPr>
        <w:t>or</w:t>
      </w:r>
      <w:r w:rsidRPr="0042765A">
        <w:rPr>
          <w:spacing w:val="-3"/>
          <w:sz w:val="20"/>
          <w:szCs w:val="20"/>
        </w:rPr>
        <w:t xml:space="preserve"> </w:t>
      </w:r>
      <w:r w:rsidRPr="0042765A">
        <w:rPr>
          <w:sz w:val="20"/>
          <w:szCs w:val="20"/>
        </w:rPr>
        <w:t>the</w:t>
      </w:r>
      <w:r w:rsidRPr="0042765A">
        <w:rPr>
          <w:spacing w:val="-2"/>
          <w:sz w:val="20"/>
          <w:szCs w:val="20"/>
        </w:rPr>
        <w:t xml:space="preserve"> </w:t>
      </w:r>
      <w:r w:rsidRPr="0042765A">
        <w:rPr>
          <w:b/>
          <w:bCs/>
          <w:sz w:val="20"/>
          <w:szCs w:val="20"/>
        </w:rPr>
        <w:t>“Company”)</w:t>
      </w:r>
      <w:r w:rsidRPr="0042765A">
        <w:rPr>
          <w:b/>
          <w:bCs/>
          <w:spacing w:val="-1"/>
          <w:sz w:val="20"/>
          <w:szCs w:val="20"/>
        </w:rPr>
        <w:t xml:space="preserve"> </w:t>
      </w:r>
      <w:r w:rsidRPr="0042765A">
        <w:rPr>
          <w:b/>
          <w:bCs/>
          <w:sz w:val="20"/>
          <w:szCs w:val="20"/>
        </w:rPr>
        <w:t>(CSE:</w:t>
      </w:r>
      <w:r w:rsidRPr="0042765A">
        <w:rPr>
          <w:b/>
          <w:bCs/>
          <w:spacing w:val="-2"/>
          <w:sz w:val="20"/>
          <w:szCs w:val="20"/>
        </w:rPr>
        <w:t xml:space="preserve"> </w:t>
      </w:r>
      <w:r w:rsidRPr="0042765A">
        <w:rPr>
          <w:b/>
          <w:bCs/>
          <w:sz w:val="20"/>
          <w:szCs w:val="20"/>
        </w:rPr>
        <w:t>ASEP)</w:t>
      </w:r>
      <w:r w:rsidRPr="0042765A">
        <w:rPr>
          <w:b/>
          <w:bCs/>
          <w:spacing w:val="-5"/>
          <w:sz w:val="20"/>
          <w:szCs w:val="20"/>
        </w:rPr>
        <w:t xml:space="preserve"> </w:t>
      </w:r>
      <w:r w:rsidRPr="0042765A">
        <w:rPr>
          <w:b/>
          <w:bCs/>
          <w:spacing w:val="-2"/>
          <w:sz w:val="20"/>
          <w:szCs w:val="20"/>
        </w:rPr>
        <w:t>(</w:t>
      </w:r>
      <w:proofErr w:type="gramStart"/>
      <w:r w:rsidRPr="0042765A">
        <w:rPr>
          <w:b/>
          <w:bCs/>
          <w:spacing w:val="-2"/>
          <w:sz w:val="20"/>
          <w:szCs w:val="20"/>
        </w:rPr>
        <w:t>OTCQB:</w:t>
      </w:r>
      <w:r w:rsidRPr="0042765A">
        <w:rPr>
          <w:b/>
          <w:bCs/>
          <w:sz w:val="20"/>
          <w:szCs w:val="20"/>
        </w:rPr>
        <w:t>SEPSF</w:t>
      </w:r>
      <w:proofErr w:type="gramEnd"/>
      <w:r w:rsidRPr="0042765A">
        <w:rPr>
          <w:b/>
          <w:bCs/>
          <w:sz w:val="20"/>
          <w:szCs w:val="20"/>
        </w:rPr>
        <w:t>)</w:t>
      </w:r>
      <w:r w:rsidRPr="0042765A">
        <w:rPr>
          <w:b/>
          <w:bCs/>
          <w:spacing w:val="-2"/>
          <w:sz w:val="20"/>
          <w:szCs w:val="20"/>
        </w:rPr>
        <w:t xml:space="preserve"> </w:t>
      </w:r>
      <w:r w:rsidRPr="0042765A">
        <w:rPr>
          <w:b/>
          <w:bCs/>
          <w:sz w:val="20"/>
          <w:szCs w:val="20"/>
        </w:rPr>
        <w:t>(FSE:</w:t>
      </w:r>
      <w:r w:rsidRPr="0042765A">
        <w:rPr>
          <w:b/>
          <w:bCs/>
          <w:spacing w:val="-2"/>
          <w:sz w:val="20"/>
          <w:szCs w:val="20"/>
        </w:rPr>
        <w:t xml:space="preserve"> </w:t>
      </w:r>
      <w:r w:rsidRPr="0042765A">
        <w:rPr>
          <w:b/>
          <w:bCs/>
          <w:sz w:val="20"/>
          <w:szCs w:val="20"/>
        </w:rPr>
        <w:t xml:space="preserve">JJ8) </w:t>
      </w:r>
      <w:r w:rsidR="00682A08">
        <w:rPr>
          <w:sz w:val="20"/>
          <w:szCs w:val="20"/>
        </w:rPr>
        <w:t>is</w:t>
      </w:r>
      <w:r w:rsidRPr="0042765A">
        <w:rPr>
          <w:sz w:val="20"/>
          <w:szCs w:val="20"/>
        </w:rPr>
        <w:t xml:space="preserve"> </w:t>
      </w:r>
      <w:r w:rsidR="00682A08" w:rsidRPr="00682A08">
        <w:rPr>
          <w:sz w:val="20"/>
          <w:szCs w:val="20"/>
        </w:rPr>
        <w:t>pleased to announce that it intends to complete a non-brokered private placement financing under the Listed Issuer Financing Exemption (the “</w:t>
      </w:r>
      <w:r w:rsidR="00682A08" w:rsidRPr="00682A08">
        <w:rPr>
          <w:b/>
          <w:bCs/>
          <w:sz w:val="20"/>
          <w:szCs w:val="20"/>
        </w:rPr>
        <w:t>LIFE Offering</w:t>
      </w:r>
      <w:r w:rsidR="00682A08" w:rsidRPr="00682A08">
        <w:rPr>
          <w:sz w:val="20"/>
          <w:szCs w:val="20"/>
        </w:rPr>
        <w:t xml:space="preserve">”) for </w:t>
      </w:r>
      <w:r w:rsidR="00682A08">
        <w:rPr>
          <w:sz w:val="20"/>
          <w:szCs w:val="20"/>
        </w:rPr>
        <w:t>maximum</w:t>
      </w:r>
      <w:r w:rsidR="00682A08" w:rsidRPr="00682A08">
        <w:rPr>
          <w:sz w:val="20"/>
          <w:szCs w:val="20"/>
        </w:rPr>
        <w:t xml:space="preserve"> gross proceeds of $</w:t>
      </w:r>
      <w:r w:rsidR="00682A08">
        <w:rPr>
          <w:sz w:val="20"/>
          <w:szCs w:val="20"/>
        </w:rPr>
        <w:t>900,000</w:t>
      </w:r>
      <w:r w:rsidR="00682A08" w:rsidRPr="00682A08">
        <w:rPr>
          <w:sz w:val="20"/>
          <w:szCs w:val="20"/>
        </w:rPr>
        <w:t>.</w:t>
      </w:r>
    </w:p>
    <w:p w14:paraId="2E06D0DC" w14:textId="77777777" w:rsidR="005E689E" w:rsidRDefault="00682A08" w:rsidP="005D7532">
      <w:pPr>
        <w:spacing w:after="240" w:line="360" w:lineRule="auto"/>
        <w:rPr>
          <w:sz w:val="20"/>
          <w:szCs w:val="20"/>
        </w:rPr>
      </w:pPr>
      <w:r w:rsidRPr="00682A08">
        <w:rPr>
          <w:sz w:val="20"/>
          <w:szCs w:val="20"/>
          <w:lang w:val="en-CA"/>
        </w:rPr>
        <w:t xml:space="preserve">The LIFE Offering will consist of a maximum of </w:t>
      </w:r>
      <w:r w:rsidR="005E689E">
        <w:rPr>
          <w:sz w:val="20"/>
          <w:szCs w:val="20"/>
          <w:lang w:val="en-CA"/>
        </w:rPr>
        <w:t>9,000,000</w:t>
      </w:r>
      <w:r w:rsidRPr="00682A08">
        <w:rPr>
          <w:sz w:val="20"/>
          <w:szCs w:val="20"/>
          <w:lang w:val="en-CA"/>
        </w:rPr>
        <w:t xml:space="preserve"> units of the Company (each, a “</w:t>
      </w:r>
      <w:r w:rsidRPr="005E689E">
        <w:rPr>
          <w:b/>
          <w:bCs/>
          <w:sz w:val="20"/>
          <w:szCs w:val="20"/>
          <w:lang w:val="en-CA"/>
        </w:rPr>
        <w:t>Unit</w:t>
      </w:r>
      <w:r w:rsidRPr="00682A08">
        <w:rPr>
          <w:sz w:val="20"/>
          <w:szCs w:val="20"/>
          <w:lang w:val="en-CA"/>
        </w:rPr>
        <w:t>”) at a price of $0.</w:t>
      </w:r>
      <w:r w:rsidR="005E689E">
        <w:rPr>
          <w:sz w:val="20"/>
          <w:szCs w:val="20"/>
          <w:lang w:val="en-CA"/>
        </w:rPr>
        <w:t>10</w:t>
      </w:r>
      <w:r w:rsidRPr="00682A08">
        <w:rPr>
          <w:sz w:val="20"/>
          <w:szCs w:val="20"/>
          <w:lang w:val="en-CA"/>
        </w:rPr>
        <w:t xml:space="preserve"> per Unit. Each Unit will consist of one common share in the capital of the Company (a “</w:t>
      </w:r>
      <w:r w:rsidRPr="005E689E">
        <w:rPr>
          <w:b/>
          <w:bCs/>
          <w:sz w:val="20"/>
          <w:szCs w:val="20"/>
          <w:lang w:val="en-CA"/>
        </w:rPr>
        <w:t>Common Share</w:t>
      </w:r>
      <w:r w:rsidRPr="00682A08">
        <w:rPr>
          <w:sz w:val="20"/>
          <w:szCs w:val="20"/>
          <w:lang w:val="en-CA"/>
        </w:rPr>
        <w:t>”) and one Common Share purchase warrant (a “</w:t>
      </w:r>
      <w:r w:rsidRPr="005E689E">
        <w:rPr>
          <w:b/>
          <w:bCs/>
          <w:sz w:val="20"/>
          <w:szCs w:val="20"/>
          <w:lang w:val="en-CA"/>
        </w:rPr>
        <w:t>Warrant</w:t>
      </w:r>
      <w:r w:rsidRPr="00682A08">
        <w:rPr>
          <w:sz w:val="20"/>
          <w:szCs w:val="20"/>
          <w:lang w:val="en-CA"/>
        </w:rPr>
        <w:t>”).</w:t>
      </w:r>
      <w:r w:rsidR="005E689E">
        <w:rPr>
          <w:sz w:val="20"/>
          <w:szCs w:val="20"/>
          <w:lang w:val="en-CA"/>
        </w:rPr>
        <w:t xml:space="preserve"> </w:t>
      </w:r>
      <w:r w:rsidR="005E689E" w:rsidRPr="005E689E">
        <w:rPr>
          <w:sz w:val="20"/>
          <w:szCs w:val="20"/>
        </w:rPr>
        <w:t>Each Warrant will entitle the holder to acquire one additional Common Share at an exercise price of $0.</w:t>
      </w:r>
      <w:r w:rsidR="005E689E">
        <w:rPr>
          <w:sz w:val="20"/>
          <w:szCs w:val="20"/>
        </w:rPr>
        <w:t>12</w:t>
      </w:r>
      <w:r w:rsidR="005E689E" w:rsidRPr="005E689E">
        <w:rPr>
          <w:sz w:val="20"/>
          <w:szCs w:val="20"/>
        </w:rPr>
        <w:t xml:space="preserve"> per Common Share, </w:t>
      </w:r>
      <w:r w:rsidR="005E689E">
        <w:rPr>
          <w:sz w:val="20"/>
          <w:szCs w:val="20"/>
        </w:rPr>
        <w:t xml:space="preserve">for a period of </w:t>
      </w:r>
      <w:r w:rsidR="005E689E" w:rsidRPr="005E689E">
        <w:rPr>
          <w:sz w:val="20"/>
          <w:szCs w:val="20"/>
        </w:rPr>
        <w:t xml:space="preserve">24 months following </w:t>
      </w:r>
      <w:r w:rsidR="005E689E">
        <w:rPr>
          <w:sz w:val="20"/>
          <w:szCs w:val="20"/>
        </w:rPr>
        <w:t>c</w:t>
      </w:r>
      <w:r w:rsidR="005E689E" w:rsidRPr="005E689E">
        <w:rPr>
          <w:sz w:val="20"/>
          <w:szCs w:val="20"/>
        </w:rPr>
        <w:t>losing</w:t>
      </w:r>
    </w:p>
    <w:p w14:paraId="0251323F" w14:textId="77777777" w:rsidR="005E689E" w:rsidRDefault="005E689E" w:rsidP="005D7532">
      <w:pPr>
        <w:spacing w:after="240" w:line="360" w:lineRule="auto"/>
        <w:rPr>
          <w:sz w:val="20"/>
          <w:szCs w:val="20"/>
          <w:lang w:val="en-CA"/>
        </w:rPr>
      </w:pPr>
      <w:r w:rsidRPr="005E689E">
        <w:rPr>
          <w:sz w:val="20"/>
          <w:szCs w:val="20"/>
          <w:lang w:val="en-CA"/>
        </w:rPr>
        <w:t xml:space="preserve">The Company intends to use the available funds from the LIFE Offering, together with its existing </w:t>
      </w:r>
      <w:r>
        <w:rPr>
          <w:sz w:val="20"/>
          <w:szCs w:val="20"/>
          <w:lang w:val="en-CA"/>
        </w:rPr>
        <w:t>additional sources of funding</w:t>
      </w:r>
      <w:r w:rsidRPr="005E689E">
        <w:rPr>
          <w:sz w:val="20"/>
          <w:szCs w:val="20"/>
          <w:lang w:val="en-CA"/>
        </w:rPr>
        <w:t xml:space="preserve">, primarily for </w:t>
      </w:r>
      <w:r>
        <w:rPr>
          <w:sz w:val="20"/>
          <w:szCs w:val="20"/>
          <w:lang w:val="en-CA"/>
        </w:rPr>
        <w:t xml:space="preserve">the </w:t>
      </w:r>
      <w:r w:rsidRPr="005E689E">
        <w:rPr>
          <w:sz w:val="20"/>
          <w:szCs w:val="20"/>
          <w:lang w:val="en-CA"/>
        </w:rPr>
        <w:t>identification and evaluation of companies and technologies for potential acquisition and integration into the Company’s business, repayment of existing debts, and general working capital purpose</w:t>
      </w:r>
      <w:r>
        <w:rPr>
          <w:sz w:val="20"/>
          <w:szCs w:val="20"/>
          <w:lang w:val="en-CA"/>
        </w:rPr>
        <w:t>s.</w:t>
      </w:r>
    </w:p>
    <w:p w14:paraId="7A0367F5" w14:textId="77777777" w:rsidR="005E689E" w:rsidRDefault="005E689E" w:rsidP="005D7532">
      <w:pPr>
        <w:spacing w:after="240" w:line="360" w:lineRule="auto"/>
        <w:rPr>
          <w:sz w:val="20"/>
          <w:szCs w:val="20"/>
          <w:lang w:val="en-CA"/>
        </w:rPr>
      </w:pPr>
      <w:r w:rsidRPr="005E689E">
        <w:rPr>
          <w:sz w:val="20"/>
          <w:szCs w:val="20"/>
          <w:lang w:val="en-CA"/>
        </w:rPr>
        <w:t xml:space="preserve">The LIFE Offering is expected to close on or about October 30, 2026, or such other date or dates as the Company may </w:t>
      </w:r>
      <w:proofErr w:type="gramStart"/>
      <w:r w:rsidRPr="005E689E">
        <w:rPr>
          <w:sz w:val="20"/>
          <w:szCs w:val="20"/>
          <w:lang w:val="en-CA"/>
        </w:rPr>
        <w:t>determine, and</w:t>
      </w:r>
      <w:proofErr w:type="gramEnd"/>
      <w:r w:rsidRPr="005E689E">
        <w:rPr>
          <w:sz w:val="20"/>
          <w:szCs w:val="20"/>
          <w:lang w:val="en-CA"/>
        </w:rPr>
        <w:t xml:space="preserve"> may close in one or more tranches. The LIFE Offering is subject to the approval of the Canadian Securities Exchange. The Company has not engaged any dealers or finders in connection with the LIFE Offering, and no commissions, finder’s fees or finder’s warrants will be paid or issued in connection with the LIFE Offering.</w:t>
      </w:r>
    </w:p>
    <w:p w14:paraId="148290E6" w14:textId="77777777" w:rsidR="005E689E" w:rsidRDefault="005E689E" w:rsidP="005D7532">
      <w:pPr>
        <w:spacing w:after="240" w:line="360" w:lineRule="auto"/>
        <w:rPr>
          <w:sz w:val="20"/>
          <w:szCs w:val="20"/>
          <w:lang w:val="en-CA"/>
        </w:rPr>
      </w:pPr>
      <w:r w:rsidRPr="005E689E">
        <w:rPr>
          <w:sz w:val="20"/>
          <w:szCs w:val="20"/>
          <w:lang w:val="en-CA"/>
        </w:rPr>
        <w:t xml:space="preserve">The LIFE Offering is being completed pursuant to the listed issuer financing exemption under Part 5A of National Instrument 45-106 – </w:t>
      </w:r>
      <w:r w:rsidRPr="005E689E">
        <w:rPr>
          <w:i/>
          <w:iCs/>
          <w:sz w:val="20"/>
          <w:szCs w:val="20"/>
          <w:lang w:val="en-CA"/>
        </w:rPr>
        <w:t>Prospectus Exemptions</w:t>
      </w:r>
      <w:r w:rsidRPr="005E689E">
        <w:rPr>
          <w:sz w:val="20"/>
          <w:szCs w:val="20"/>
          <w:lang w:val="en-CA"/>
        </w:rPr>
        <w:t xml:space="preserve">, as modified by Coordinated Blanket Order 45-935 – </w:t>
      </w:r>
      <w:r w:rsidRPr="005E689E">
        <w:rPr>
          <w:i/>
          <w:iCs/>
          <w:sz w:val="20"/>
          <w:szCs w:val="20"/>
          <w:lang w:val="en-CA"/>
        </w:rPr>
        <w:t>Exemptions from Certain Conditions of the Listed Issuer Financing Exemption</w:t>
      </w:r>
      <w:r w:rsidRPr="005E689E">
        <w:rPr>
          <w:sz w:val="20"/>
          <w:szCs w:val="20"/>
          <w:lang w:val="en-CA"/>
        </w:rPr>
        <w:t xml:space="preserve">, and is being made to </w:t>
      </w:r>
      <w:proofErr w:type="gramStart"/>
      <w:r w:rsidRPr="005E689E">
        <w:rPr>
          <w:sz w:val="20"/>
          <w:szCs w:val="20"/>
          <w:lang w:val="en-CA"/>
        </w:rPr>
        <w:t>purchasers</w:t>
      </w:r>
      <w:proofErr w:type="gramEnd"/>
      <w:r w:rsidRPr="005E689E">
        <w:rPr>
          <w:sz w:val="20"/>
          <w:szCs w:val="20"/>
          <w:lang w:val="en-CA"/>
        </w:rPr>
        <w:t xml:space="preserve"> resident in all provinces of Canada, </w:t>
      </w:r>
      <w:r>
        <w:rPr>
          <w:sz w:val="20"/>
          <w:szCs w:val="20"/>
          <w:lang w:val="en-CA"/>
        </w:rPr>
        <w:t>other than</w:t>
      </w:r>
      <w:r w:rsidRPr="005E689E">
        <w:rPr>
          <w:sz w:val="20"/>
          <w:szCs w:val="20"/>
          <w:lang w:val="en-CA"/>
        </w:rPr>
        <w:t xml:space="preserve"> Quebec. The securities issued pursuant to the LIFE Offering are expected to be immediately freely tradeable under applicable Canadian securities legislation.</w:t>
      </w:r>
    </w:p>
    <w:p w14:paraId="749BD162" w14:textId="77777777" w:rsidR="005E689E" w:rsidRDefault="005E689E" w:rsidP="005D7532">
      <w:pPr>
        <w:spacing w:after="240" w:line="360" w:lineRule="auto"/>
        <w:rPr>
          <w:sz w:val="20"/>
          <w:szCs w:val="20"/>
          <w:lang w:val="en-CA"/>
        </w:rPr>
      </w:pPr>
      <w:r w:rsidRPr="005E689E">
        <w:rPr>
          <w:sz w:val="20"/>
          <w:szCs w:val="20"/>
          <w:lang w:val="en-CA"/>
        </w:rPr>
        <w:t>There is an offering document related to the LIFE Offering that can be accessed under the Company’s profile at SEDAR+ and on the Company’s website. Prospective investors should read this offering document before making an investment decision.</w:t>
      </w:r>
    </w:p>
    <w:p w14:paraId="6D6810EB" w14:textId="18BC9C6F" w:rsidR="005E689E" w:rsidRPr="005E689E" w:rsidRDefault="005E689E" w:rsidP="005D7532">
      <w:pPr>
        <w:spacing w:after="240" w:line="360" w:lineRule="auto"/>
        <w:rPr>
          <w:sz w:val="20"/>
          <w:szCs w:val="20"/>
          <w:lang w:val="en-CA"/>
        </w:rPr>
      </w:pPr>
      <w:r w:rsidRPr="005E689E">
        <w:rPr>
          <w:sz w:val="20"/>
          <w:szCs w:val="20"/>
          <w:lang w:val="en-CA"/>
        </w:rPr>
        <w:lastRenderedPageBreak/>
        <w:t>The securities described herein have not been and will not be registered under the United States Securities Act of 1933, as amended (the “</w:t>
      </w:r>
      <w:r w:rsidRPr="005E689E">
        <w:rPr>
          <w:b/>
          <w:bCs/>
          <w:sz w:val="20"/>
          <w:szCs w:val="20"/>
          <w:lang w:val="en-CA"/>
        </w:rPr>
        <w:t>U.S. Securities Act</w:t>
      </w:r>
      <w:r w:rsidRPr="005E689E">
        <w:rPr>
          <w:sz w:val="20"/>
          <w:szCs w:val="20"/>
          <w:lang w:val="en-CA"/>
        </w:rPr>
        <w:t>”), or any United States state securities laws, and may not be offered or sold in the United States or to, or for the account or benefit of, United States persons absent registration or any available exemption from the registration requirements of the U.S. Securities Act and applicable United States state securities laws. This press release does not constitute an offer to sell or a solicitation of an offer to buy nor shall there be any sale of the securities in any jurisdiction in which such offer, solicitation or sale would be unlawful.</w:t>
      </w:r>
    </w:p>
    <w:p w14:paraId="6C4EF54E" w14:textId="77777777" w:rsidR="00682A08" w:rsidRDefault="00682A08" w:rsidP="005D7532">
      <w:pPr>
        <w:pStyle w:val="Heading1"/>
        <w:rPr>
          <w:lang w:val="en-CA"/>
        </w:rPr>
      </w:pPr>
    </w:p>
    <w:p w14:paraId="3F6D2E9F" w14:textId="43A000E4" w:rsidR="00B0294D" w:rsidRDefault="00A0745E" w:rsidP="005D7532">
      <w:pPr>
        <w:pStyle w:val="Heading1"/>
      </w:pPr>
      <w:r>
        <w:t>ABOUT</w:t>
      </w:r>
      <w:r>
        <w:rPr>
          <w:spacing w:val="-3"/>
        </w:rPr>
        <w:t xml:space="preserve"> </w:t>
      </w:r>
      <w:r>
        <w:t>ASEP</w:t>
      </w:r>
      <w:r>
        <w:rPr>
          <w:spacing w:val="-5"/>
        </w:rPr>
        <w:t xml:space="preserve"> </w:t>
      </w:r>
      <w:r>
        <w:t>MEDICAL</w:t>
      </w:r>
      <w:r>
        <w:rPr>
          <w:spacing w:val="-3"/>
        </w:rPr>
        <w:t xml:space="preserve"> </w:t>
      </w:r>
      <w:r>
        <w:t>HOLDINGS</w:t>
      </w:r>
      <w:r>
        <w:rPr>
          <w:spacing w:val="-2"/>
        </w:rPr>
        <w:t xml:space="preserve"> </w:t>
      </w:r>
      <w:r>
        <w:rPr>
          <w:spacing w:val="-4"/>
        </w:rPr>
        <w:t>INC.</w:t>
      </w:r>
    </w:p>
    <w:p w14:paraId="5AA25D4E" w14:textId="59D3C2E1" w:rsidR="00B0294D" w:rsidRDefault="00A0745E" w:rsidP="005D7532">
      <w:pPr>
        <w:pStyle w:val="BodyText"/>
        <w:spacing w:before="121" w:line="360" w:lineRule="auto"/>
      </w:pPr>
      <w:r>
        <w:t>Asep Medical is a</w:t>
      </w:r>
      <w:r w:rsidR="000C4997">
        <w:t>n investment issuer focused on investing into</w:t>
      </w:r>
      <w:r>
        <w:t xml:space="preserve"> biotechnology research and development </w:t>
      </w:r>
      <w:r w:rsidR="000C4997">
        <w:t>assets and is</w:t>
      </w:r>
      <w:r>
        <w:t xml:space="preserve"> based in Victoria, BC, Canada. The Company possesses a valuable portfolio of global patents for innovative diagnostic and therapeutic medical technologies.</w:t>
      </w:r>
      <w:r>
        <w:rPr>
          <w:spacing w:val="-4"/>
        </w:rPr>
        <w:t xml:space="preserve"> </w:t>
      </w:r>
      <w:r>
        <w:t>These</w:t>
      </w:r>
      <w:r>
        <w:rPr>
          <w:spacing w:val="-3"/>
        </w:rPr>
        <w:t xml:space="preserve"> </w:t>
      </w:r>
      <w:r>
        <w:t>technologies</w:t>
      </w:r>
      <w:r>
        <w:rPr>
          <w:spacing w:val="-2"/>
        </w:rPr>
        <w:t xml:space="preserve"> </w:t>
      </w:r>
      <w:r>
        <w:t>were</w:t>
      </w:r>
      <w:r>
        <w:rPr>
          <w:spacing w:val="-3"/>
        </w:rPr>
        <w:t xml:space="preserve"> </w:t>
      </w:r>
      <w:r>
        <w:t>developed</w:t>
      </w:r>
      <w:r>
        <w:rPr>
          <w:spacing w:val="-4"/>
        </w:rPr>
        <w:t xml:space="preserve"> </w:t>
      </w:r>
      <w:r>
        <w:t>over</w:t>
      </w:r>
      <w:r>
        <w:rPr>
          <w:spacing w:val="-3"/>
        </w:rPr>
        <w:t xml:space="preserve"> </w:t>
      </w:r>
      <w:r>
        <w:t>the</w:t>
      </w:r>
      <w:r>
        <w:rPr>
          <w:spacing w:val="-3"/>
        </w:rPr>
        <w:t xml:space="preserve"> </w:t>
      </w:r>
      <w:r>
        <w:t>past</w:t>
      </w:r>
      <w:r>
        <w:rPr>
          <w:spacing w:val="-5"/>
        </w:rPr>
        <w:t xml:space="preserve"> </w:t>
      </w:r>
      <w:r>
        <w:t>decade</w:t>
      </w:r>
      <w:r>
        <w:rPr>
          <w:spacing w:val="-3"/>
        </w:rPr>
        <w:t xml:space="preserve"> </w:t>
      </w:r>
      <w:r>
        <w:t>at</w:t>
      </w:r>
      <w:r>
        <w:rPr>
          <w:spacing w:val="-6"/>
        </w:rPr>
        <w:t xml:space="preserve"> </w:t>
      </w:r>
      <w:r>
        <w:t>the</w:t>
      </w:r>
      <w:r>
        <w:rPr>
          <w:spacing w:val="-3"/>
        </w:rPr>
        <w:t xml:space="preserve"> </w:t>
      </w:r>
      <w:r>
        <w:t>University of</w:t>
      </w:r>
      <w:r>
        <w:rPr>
          <w:spacing w:val="-5"/>
        </w:rPr>
        <w:t xml:space="preserve"> </w:t>
      </w:r>
      <w:r>
        <w:t>British</w:t>
      </w:r>
      <w:r>
        <w:rPr>
          <w:spacing w:val="-4"/>
        </w:rPr>
        <w:t xml:space="preserve"> </w:t>
      </w:r>
      <w:r>
        <w:t>Columbia</w:t>
      </w:r>
      <w:r>
        <w:rPr>
          <w:spacing w:val="-4"/>
        </w:rPr>
        <w:t xml:space="preserve"> </w:t>
      </w:r>
      <w:r>
        <w:t xml:space="preserve">under the guidance of Dr. Robert E. W. Hancock, one of the world’s foremost microbiologists. Asep holds a </w:t>
      </w:r>
      <w:r w:rsidR="0095291C">
        <w:t>significant</w:t>
      </w:r>
      <w:r>
        <w:t xml:space="preserve"> interest in two private companies — Sepset Biosciences (Asep’s leading</w:t>
      </w:r>
      <w:r w:rsidR="00682A08">
        <w:t xml:space="preserve"> </w:t>
      </w:r>
      <w:r>
        <w:t xml:space="preserve">product, a sepsis diagnostic technology) and ABT Innovations (specializing in anti-biofilm technology). As the Company’s patented innovations address unmet medical needs, it presents a unique investment opportunity for both retail and institutional </w:t>
      </w:r>
      <w:r>
        <w:rPr>
          <w:spacing w:val="-2"/>
        </w:rPr>
        <w:t>investors.</w:t>
      </w:r>
    </w:p>
    <w:p w14:paraId="21E2677C" w14:textId="77777777" w:rsidR="0095291C" w:rsidRDefault="0095291C" w:rsidP="005D7532">
      <w:pPr>
        <w:rPr>
          <w:i/>
          <w:sz w:val="20"/>
        </w:rPr>
      </w:pPr>
    </w:p>
    <w:p w14:paraId="05A8B3FA" w14:textId="77777777" w:rsidR="00B0294D" w:rsidRDefault="00A0745E" w:rsidP="005D7532">
      <w:pPr>
        <w:rPr>
          <w:i/>
          <w:spacing w:val="-2"/>
          <w:sz w:val="20"/>
        </w:rPr>
      </w:pPr>
      <w:r>
        <w:rPr>
          <w:i/>
          <w:sz w:val="20"/>
        </w:rPr>
        <w:t>The</w:t>
      </w:r>
      <w:r>
        <w:rPr>
          <w:i/>
          <w:spacing w:val="-3"/>
          <w:sz w:val="20"/>
        </w:rPr>
        <w:t xml:space="preserve"> </w:t>
      </w:r>
      <w:r>
        <w:rPr>
          <w:i/>
          <w:sz w:val="20"/>
        </w:rPr>
        <w:t>CSE</w:t>
      </w:r>
      <w:r>
        <w:rPr>
          <w:i/>
          <w:spacing w:val="-5"/>
          <w:sz w:val="20"/>
        </w:rPr>
        <w:t xml:space="preserve"> </w:t>
      </w:r>
      <w:r>
        <w:rPr>
          <w:i/>
          <w:sz w:val="20"/>
        </w:rPr>
        <w:t>has</w:t>
      </w:r>
      <w:r>
        <w:rPr>
          <w:i/>
          <w:spacing w:val="-1"/>
          <w:sz w:val="20"/>
        </w:rPr>
        <w:t xml:space="preserve"> </w:t>
      </w:r>
      <w:r>
        <w:rPr>
          <w:i/>
          <w:sz w:val="20"/>
        </w:rPr>
        <w:t>not</w:t>
      </w:r>
      <w:r>
        <w:rPr>
          <w:i/>
          <w:spacing w:val="-4"/>
          <w:sz w:val="20"/>
        </w:rPr>
        <w:t xml:space="preserve"> </w:t>
      </w:r>
      <w:r>
        <w:rPr>
          <w:i/>
          <w:sz w:val="20"/>
        </w:rPr>
        <w:t>reviewed</w:t>
      </w:r>
      <w:r>
        <w:rPr>
          <w:i/>
          <w:spacing w:val="-1"/>
          <w:sz w:val="20"/>
        </w:rPr>
        <w:t xml:space="preserve"> </w:t>
      </w:r>
      <w:r>
        <w:rPr>
          <w:i/>
          <w:sz w:val="20"/>
        </w:rPr>
        <w:t>and</w:t>
      </w:r>
      <w:r>
        <w:rPr>
          <w:i/>
          <w:spacing w:val="-1"/>
          <w:sz w:val="20"/>
        </w:rPr>
        <w:t xml:space="preserve"> </w:t>
      </w:r>
      <w:r>
        <w:rPr>
          <w:i/>
          <w:sz w:val="20"/>
        </w:rPr>
        <w:t>does</w:t>
      </w:r>
      <w:r>
        <w:rPr>
          <w:i/>
          <w:spacing w:val="-6"/>
          <w:sz w:val="20"/>
        </w:rPr>
        <w:t xml:space="preserve"> </w:t>
      </w:r>
      <w:r>
        <w:rPr>
          <w:i/>
          <w:sz w:val="20"/>
        </w:rPr>
        <w:t>not</w:t>
      </w:r>
      <w:r>
        <w:rPr>
          <w:i/>
          <w:spacing w:val="-4"/>
          <w:sz w:val="20"/>
        </w:rPr>
        <w:t xml:space="preserve"> </w:t>
      </w:r>
      <w:r>
        <w:rPr>
          <w:i/>
          <w:sz w:val="20"/>
        </w:rPr>
        <w:t>accept</w:t>
      </w:r>
      <w:r>
        <w:rPr>
          <w:i/>
          <w:spacing w:val="-4"/>
          <w:sz w:val="20"/>
        </w:rPr>
        <w:t xml:space="preserve"> </w:t>
      </w:r>
      <w:r>
        <w:rPr>
          <w:i/>
          <w:sz w:val="20"/>
        </w:rPr>
        <w:t>responsibility</w:t>
      </w:r>
      <w:r>
        <w:rPr>
          <w:i/>
          <w:spacing w:val="-3"/>
          <w:sz w:val="20"/>
        </w:rPr>
        <w:t xml:space="preserve"> </w:t>
      </w:r>
      <w:r>
        <w:rPr>
          <w:i/>
          <w:sz w:val="20"/>
        </w:rPr>
        <w:t>for</w:t>
      </w:r>
      <w:r>
        <w:rPr>
          <w:i/>
          <w:spacing w:val="-1"/>
          <w:sz w:val="20"/>
        </w:rPr>
        <w:t xml:space="preserve"> </w:t>
      </w:r>
      <w:r>
        <w:rPr>
          <w:i/>
          <w:sz w:val="20"/>
        </w:rPr>
        <w:t>the</w:t>
      </w:r>
      <w:r>
        <w:rPr>
          <w:i/>
          <w:spacing w:val="-3"/>
          <w:sz w:val="20"/>
        </w:rPr>
        <w:t xml:space="preserve"> </w:t>
      </w:r>
      <w:r>
        <w:rPr>
          <w:i/>
          <w:sz w:val="20"/>
        </w:rPr>
        <w:t>accuracy</w:t>
      </w:r>
      <w:r>
        <w:rPr>
          <w:i/>
          <w:spacing w:val="-3"/>
          <w:sz w:val="20"/>
        </w:rPr>
        <w:t xml:space="preserve"> </w:t>
      </w:r>
      <w:r>
        <w:rPr>
          <w:i/>
          <w:sz w:val="20"/>
        </w:rPr>
        <w:t>or</w:t>
      </w:r>
      <w:r>
        <w:rPr>
          <w:i/>
          <w:spacing w:val="-1"/>
          <w:sz w:val="20"/>
        </w:rPr>
        <w:t xml:space="preserve"> </w:t>
      </w:r>
      <w:r>
        <w:rPr>
          <w:i/>
          <w:sz w:val="20"/>
        </w:rPr>
        <w:t>adequacy</w:t>
      </w:r>
      <w:r>
        <w:rPr>
          <w:i/>
          <w:spacing w:val="-7"/>
          <w:sz w:val="20"/>
        </w:rPr>
        <w:t xml:space="preserve"> </w:t>
      </w:r>
      <w:r>
        <w:rPr>
          <w:i/>
          <w:sz w:val="20"/>
        </w:rPr>
        <w:t>of</w:t>
      </w:r>
      <w:r>
        <w:rPr>
          <w:i/>
          <w:spacing w:val="-3"/>
          <w:sz w:val="20"/>
        </w:rPr>
        <w:t xml:space="preserve"> </w:t>
      </w:r>
      <w:r>
        <w:rPr>
          <w:i/>
          <w:sz w:val="20"/>
        </w:rPr>
        <w:t>this</w:t>
      </w:r>
      <w:r>
        <w:rPr>
          <w:i/>
          <w:spacing w:val="-1"/>
          <w:sz w:val="20"/>
        </w:rPr>
        <w:t xml:space="preserve"> </w:t>
      </w:r>
      <w:r>
        <w:rPr>
          <w:i/>
          <w:spacing w:val="-2"/>
          <w:sz w:val="20"/>
        </w:rPr>
        <w:t>release.</w:t>
      </w:r>
    </w:p>
    <w:p w14:paraId="340D2C94" w14:textId="77777777" w:rsidR="00C45678" w:rsidRPr="00C45678" w:rsidRDefault="00C45678" w:rsidP="005D7532">
      <w:pPr>
        <w:rPr>
          <w:i/>
          <w:sz w:val="20"/>
        </w:rPr>
      </w:pPr>
    </w:p>
    <w:p w14:paraId="51CF371D" w14:textId="77777777" w:rsidR="007246EE" w:rsidRDefault="007246EE" w:rsidP="005D7532">
      <w:pPr>
        <w:pStyle w:val="Heading1"/>
      </w:pPr>
    </w:p>
    <w:p w14:paraId="7873EA6D" w14:textId="1CB473E7" w:rsidR="00B0294D" w:rsidRDefault="00A0745E" w:rsidP="005D7532">
      <w:pPr>
        <w:pStyle w:val="Heading1"/>
      </w:pPr>
      <w:r>
        <w:t>FOR</w:t>
      </w:r>
      <w:r>
        <w:rPr>
          <w:spacing w:val="-2"/>
        </w:rPr>
        <w:t xml:space="preserve"> </w:t>
      </w:r>
      <w:r>
        <w:t>MORE INFORMATION,</w:t>
      </w:r>
      <w:r>
        <w:rPr>
          <w:spacing w:val="-5"/>
        </w:rPr>
        <w:t xml:space="preserve"> </w:t>
      </w:r>
      <w:r>
        <w:t>PLEASE CONTACT</w:t>
      </w:r>
    </w:p>
    <w:p w14:paraId="11F54E70" w14:textId="77777777" w:rsidR="00B0294D" w:rsidRDefault="00A0745E" w:rsidP="005D7532">
      <w:pPr>
        <w:pStyle w:val="BodyText"/>
        <w:spacing w:before="121" w:line="364" w:lineRule="auto"/>
        <w:ind w:right="6448"/>
      </w:pPr>
      <w:r>
        <w:t>Chris</w:t>
      </w:r>
      <w:r>
        <w:rPr>
          <w:spacing w:val="-12"/>
        </w:rPr>
        <w:t xml:space="preserve"> </w:t>
      </w:r>
      <w:r>
        <w:t>Dallin,</w:t>
      </w:r>
      <w:r>
        <w:rPr>
          <w:spacing w:val="-11"/>
        </w:rPr>
        <w:t xml:space="preserve"> </w:t>
      </w:r>
      <w:r>
        <w:t>Marketing</w:t>
      </w:r>
      <w:r>
        <w:rPr>
          <w:spacing w:val="-11"/>
        </w:rPr>
        <w:t xml:space="preserve"> </w:t>
      </w:r>
      <w:r>
        <w:t>Director ASEP Medical Holdings Inc.</w:t>
      </w:r>
    </w:p>
    <w:p w14:paraId="0ACED577" w14:textId="77777777" w:rsidR="00B0294D" w:rsidRDefault="00A0745E" w:rsidP="005D7532">
      <w:pPr>
        <w:pStyle w:val="BodyText"/>
        <w:spacing w:line="238" w:lineRule="exact"/>
      </w:pPr>
      <w:r>
        <w:t>E.</w:t>
      </w:r>
      <w:r>
        <w:rPr>
          <w:spacing w:val="1"/>
        </w:rPr>
        <w:t xml:space="preserve"> </w:t>
      </w:r>
      <w:hyperlink r:id="rId7">
        <w:r w:rsidR="00B0294D">
          <w:rPr>
            <w:color w:val="0462C1"/>
            <w:spacing w:val="-2"/>
            <w:u w:val="single" w:color="0462C1"/>
          </w:rPr>
          <w:t>chris@asepmedical.com</w:t>
        </w:r>
      </w:hyperlink>
    </w:p>
    <w:p w14:paraId="3BDFE13D" w14:textId="77777777" w:rsidR="00B0294D" w:rsidRDefault="00A0745E" w:rsidP="005D7532">
      <w:pPr>
        <w:pStyle w:val="BodyText"/>
        <w:spacing w:before="120"/>
      </w:pPr>
      <w:r>
        <w:t>T.</w:t>
      </w:r>
      <w:r>
        <w:rPr>
          <w:spacing w:val="-6"/>
        </w:rPr>
        <w:t xml:space="preserve"> </w:t>
      </w:r>
      <w:r>
        <w:t>+1</w:t>
      </w:r>
      <w:r>
        <w:rPr>
          <w:spacing w:val="-4"/>
        </w:rPr>
        <w:t xml:space="preserve"> </w:t>
      </w:r>
      <w:r>
        <w:t>(604)</w:t>
      </w:r>
      <w:r>
        <w:rPr>
          <w:spacing w:val="-3"/>
        </w:rPr>
        <w:t xml:space="preserve"> </w:t>
      </w:r>
      <w:r>
        <w:t>362-</w:t>
      </w:r>
      <w:r>
        <w:rPr>
          <w:spacing w:val="-4"/>
        </w:rPr>
        <w:t>3654</w:t>
      </w:r>
    </w:p>
    <w:p w14:paraId="6223EF57" w14:textId="77777777" w:rsidR="00B0294D" w:rsidRDefault="00B0294D" w:rsidP="005D7532">
      <w:pPr>
        <w:pStyle w:val="BodyText"/>
        <w:spacing w:before="73"/>
      </w:pPr>
    </w:p>
    <w:p w14:paraId="17A1CD3A" w14:textId="77777777" w:rsidR="00B0294D" w:rsidRDefault="00A0745E" w:rsidP="005D7532">
      <w:pPr>
        <w:pStyle w:val="Heading1"/>
      </w:pPr>
      <w:r>
        <w:t>FORWARD-LOOKING</w:t>
      </w:r>
      <w:r>
        <w:rPr>
          <w:spacing w:val="-4"/>
        </w:rPr>
        <w:t xml:space="preserve"> </w:t>
      </w:r>
      <w:r>
        <w:rPr>
          <w:spacing w:val="-2"/>
        </w:rPr>
        <w:t>STATEMENTS</w:t>
      </w:r>
    </w:p>
    <w:p w14:paraId="619F5988" w14:textId="67FC1264" w:rsidR="005E689E" w:rsidRPr="005E689E" w:rsidRDefault="005E689E" w:rsidP="005D7532">
      <w:pPr>
        <w:spacing w:line="360" w:lineRule="auto"/>
        <w:rPr>
          <w:rFonts w:eastAsiaTheme="minorHAnsi"/>
          <w:color w:val="000000" w:themeColor="text1"/>
          <w:sz w:val="20"/>
          <w:szCs w:val="20"/>
          <w:lang w:val="en"/>
        </w:rPr>
      </w:pPr>
      <w:r w:rsidRPr="00DC6043">
        <w:rPr>
          <w:rFonts w:eastAsiaTheme="minorHAnsi"/>
          <w:color w:val="000000" w:themeColor="text1"/>
          <w:sz w:val="20"/>
          <w:szCs w:val="20"/>
          <w:lang w:val="en"/>
        </w:rPr>
        <w:t xml:space="preserve">This news release contains certain “forward-looking statements” within the meaning of such statements under applicable securities law. Forward-looking statements are frequently characterized by words such as “anticipates,” “plans,” “continues,” “expects,” “projects,” “intends,” “believes,” “estimates,” “may,” “will,” “potential,” “proposed,” “positioned” and other similar words, or statements that certain events or conditions “may” or “will” occur. These statements include, but are not limited to, </w:t>
      </w:r>
      <w:r w:rsidRPr="005E689E">
        <w:rPr>
          <w:rFonts w:eastAsiaTheme="minorHAnsi"/>
          <w:color w:val="000000" w:themeColor="text1"/>
          <w:sz w:val="20"/>
          <w:szCs w:val="20"/>
          <w:lang w:val="en"/>
        </w:rPr>
        <w:t xml:space="preserve">the completion and timing of the LIFE Offering, the issuance of the Units, Common Shares and Warrants, the intended use of available funds, and the receipt of </w:t>
      </w:r>
      <w:r w:rsidRPr="005E689E">
        <w:rPr>
          <w:rFonts w:eastAsiaTheme="minorHAnsi"/>
          <w:color w:val="000000" w:themeColor="text1"/>
          <w:sz w:val="20"/>
          <w:szCs w:val="20"/>
          <w:lang w:val="en"/>
        </w:rPr>
        <w:lastRenderedPageBreak/>
        <w:t>approval of the Canadian Securities Exchange</w:t>
      </w:r>
      <w:r>
        <w:rPr>
          <w:rFonts w:eastAsiaTheme="minorHAnsi"/>
          <w:color w:val="000000" w:themeColor="text1"/>
          <w:sz w:val="20"/>
          <w:szCs w:val="20"/>
          <w:lang w:val="en"/>
        </w:rPr>
        <w:t xml:space="preserve">, </w:t>
      </w:r>
      <w:r w:rsidRPr="00DC6043">
        <w:rPr>
          <w:rFonts w:eastAsiaTheme="minorHAnsi"/>
          <w:color w:val="000000" w:themeColor="text1"/>
          <w:sz w:val="20"/>
          <w:szCs w:val="20"/>
          <w:lang w:val="en"/>
        </w:rPr>
        <w:t>the successful execution of the Company’s business plan, the development, testing, and commercialization of its sepsis diagnostic test (Sepset), and other statements regarding the Company’s proposed business plans and technologies. Various assumptions were used in drawing conclusions or making the predictions contained in the forward-looking statements throughout this news release. Forward-looking statements are based on the opinions and estimates of management at the date the statements are made and are subject to a variety of risks, including the risk that the Company’s products may not perform as expected, may not receive regulatory approvals, or may not generate revenue as anticipated. Additional risk actors are identified in the Asep Medical Holdings Inc. prospectus dated November 9, 2021, and in the Company’s management discussion and analysis, available for review under the Company’s profile at www.sedarplus.ca. Asep Medical Holdings Inc. undertakes no obligation to update or revise any forward-looking statements, except as</w:t>
      </w:r>
      <w:r>
        <w:rPr>
          <w:rFonts w:eastAsiaTheme="minorHAnsi"/>
          <w:color w:val="000000" w:themeColor="text1"/>
          <w:sz w:val="20"/>
          <w:szCs w:val="20"/>
          <w:lang w:val="en"/>
        </w:rPr>
        <w:t xml:space="preserve"> </w:t>
      </w:r>
      <w:r w:rsidRPr="00DC6043">
        <w:rPr>
          <w:rFonts w:eastAsiaTheme="minorHAnsi"/>
          <w:color w:val="000000" w:themeColor="text1"/>
          <w:sz w:val="20"/>
          <w:szCs w:val="20"/>
          <w:lang w:val="en"/>
        </w:rPr>
        <w:t>required by applicable law.</w:t>
      </w:r>
    </w:p>
    <w:p w14:paraId="142AB525" w14:textId="4C5A72FA" w:rsidR="00D14E7B" w:rsidRPr="00D60AF9" w:rsidRDefault="00D14E7B" w:rsidP="005D7532">
      <w:pPr>
        <w:pStyle w:val="BodyText"/>
        <w:spacing w:before="121" w:line="360" w:lineRule="auto"/>
        <w:rPr>
          <w:lang w:val="en-CA"/>
        </w:rPr>
      </w:pPr>
    </w:p>
    <w:sectPr w:rsidR="00D14E7B" w:rsidRPr="00D60AF9" w:rsidSect="005D7532">
      <w:headerReference w:type="default" r:id="rId8"/>
      <w:footerReference w:type="default" r:id="rId9"/>
      <w:pgSz w:w="12240" w:h="15840"/>
      <w:pgMar w:top="2807" w:right="1440" w:bottom="1160" w:left="1440" w:header="1036" w:footer="9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7E03E0" w14:textId="77777777" w:rsidR="008439F9" w:rsidRDefault="008439F9">
      <w:r>
        <w:separator/>
      </w:r>
    </w:p>
  </w:endnote>
  <w:endnote w:type="continuationSeparator" w:id="0">
    <w:p w14:paraId="25EDC3DA" w14:textId="77777777" w:rsidR="008439F9" w:rsidRDefault="00843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D3951" w14:textId="77777777" w:rsidR="00B0294D" w:rsidRDefault="00A0745E">
    <w:pPr>
      <w:pStyle w:val="BodyText"/>
      <w:spacing w:line="14" w:lineRule="auto"/>
    </w:pPr>
    <w:r>
      <w:rPr>
        <w:noProof/>
      </w:rPr>
      <mc:AlternateContent>
        <mc:Choice Requires="wps">
          <w:drawing>
            <wp:anchor distT="0" distB="0" distL="0" distR="0" simplePos="0" relativeHeight="251657728" behindDoc="1" locked="0" layoutInCell="1" allowOverlap="1" wp14:anchorId="1D77770C" wp14:editId="0B1EB61E">
              <wp:simplePos x="0" y="0"/>
              <wp:positionH relativeFrom="page">
                <wp:posOffset>6771893</wp:posOffset>
              </wp:positionH>
              <wp:positionV relativeFrom="page">
                <wp:posOffset>9308782</wp:posOffset>
              </wp:positionV>
              <wp:extent cx="140970" cy="127000"/>
              <wp:effectExtent l="0" t="0" r="0" b="0"/>
              <wp:wrapNone/>
              <wp:docPr id="3" name="Textbox 3"/>
              <wp:cNvGraphicFramePr/>
              <a:graphic xmlns:a="http://schemas.openxmlformats.org/drawingml/2006/main">
                <a:graphicData uri="http://schemas.microsoft.com/office/word/2010/wordprocessingShape">
                  <wps:wsp>
                    <wps:cNvSpPr txBox="1"/>
                    <wps:spPr>
                      <a:xfrm>
                        <a:off x="0" y="0"/>
                        <a:ext cx="140970" cy="127000"/>
                      </a:xfrm>
                      <a:prstGeom prst="rect">
                        <a:avLst/>
                      </a:prstGeom>
                    </wps:spPr>
                    <wps:txbx>
                      <w:txbxContent>
                        <w:p w14:paraId="46585501" w14:textId="77777777" w:rsidR="00B0294D" w:rsidRDefault="00A0745E">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wps:wsp>
                </a:graphicData>
              </a:graphic>
            </wp:anchor>
          </w:drawing>
        </mc:Choice>
        <mc:Fallback>
          <w:pict>
            <v:shapetype w14:anchorId="1D77770C" id="_x0000_t202" coordsize="21600,21600" o:spt="202" path="m,l,21600r21600,l21600,xe">
              <v:stroke joinstyle="miter"/>
              <v:path gradientshapeok="t" o:connecttype="rect"/>
            </v:shapetype>
            <v:shape id="Textbox 3" o:spid="_x0000_s1027" type="#_x0000_t202" style="position:absolute;margin-left:533.2pt;margin-top:732.95pt;width:11.1pt;height:10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" filled="f" stroked="f">
              <v:textbox inset="0,0,0,0">
                <w:txbxContent>
                  <w:p w14:paraId="46585501" w14:textId="77777777" w:rsidR="00B0294D" w:rsidRDefault="00A0745E">
                    <w:pPr>
                      <w:spacing w:line="183" w:lineRule="exact"/>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6C25A1" w14:textId="77777777" w:rsidR="008439F9" w:rsidRDefault="008439F9">
      <w:r>
        <w:separator/>
      </w:r>
    </w:p>
  </w:footnote>
  <w:footnote w:type="continuationSeparator" w:id="0">
    <w:p w14:paraId="43153BC0" w14:textId="77777777" w:rsidR="008439F9" w:rsidRDefault="00843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3C7385" w14:textId="77777777" w:rsidR="00B0294D" w:rsidRDefault="00A0745E">
    <w:pPr>
      <w:pStyle w:val="BodyText"/>
      <w:spacing w:line="14" w:lineRule="auto"/>
    </w:pPr>
    <w:r>
      <w:rPr>
        <w:noProof/>
      </w:rPr>
      <w:drawing>
        <wp:anchor distT="0" distB="0" distL="0" distR="0" simplePos="0" relativeHeight="251656704" behindDoc="1" locked="0" layoutInCell="1" allowOverlap="1" wp14:anchorId="769A6A41" wp14:editId="1CEB2C09">
          <wp:simplePos x="0" y="0"/>
          <wp:positionH relativeFrom="page">
            <wp:posOffset>3166885</wp:posOffset>
          </wp:positionH>
          <wp:positionV relativeFrom="page">
            <wp:posOffset>657630</wp:posOffset>
          </wp:positionV>
          <wp:extent cx="1213332" cy="664683"/>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213332" cy="664683"/>
                  </a:xfrm>
                  <a:prstGeom prst="rect">
                    <a:avLst/>
                  </a:prstGeom>
                </pic:spPr>
              </pic:pic>
            </a:graphicData>
          </a:graphic>
        </wp:anchor>
      </w:drawing>
    </w:r>
    <w:r>
      <w:rPr>
        <w:noProof/>
      </w:rPr>
      <mc:AlternateContent>
        <mc:Choice Requires="wps">
          <w:drawing>
            <wp:anchor distT="0" distB="0" distL="0" distR="0" simplePos="0" relativeHeight="251658752" behindDoc="1" locked="0" layoutInCell="1" allowOverlap="1" wp14:anchorId="050528D2" wp14:editId="31FBA1B5">
              <wp:simplePos x="0" y="0"/>
              <wp:positionH relativeFrom="page">
                <wp:posOffset>3141345</wp:posOffset>
              </wp:positionH>
              <wp:positionV relativeFrom="page">
                <wp:posOffset>1397635</wp:posOffset>
              </wp:positionV>
              <wp:extent cx="1490345" cy="156845"/>
              <wp:effectExtent l="0" t="0" r="0" b="0"/>
              <wp:wrapNone/>
              <wp:docPr id="2" name="Textbox 2"/>
              <wp:cNvGraphicFramePr/>
              <a:graphic xmlns:a="http://schemas.openxmlformats.org/drawingml/2006/main">
                <a:graphicData uri="http://schemas.microsoft.com/office/word/2010/wordprocessingShape">
                  <wps:wsp>
                    <wps:cNvSpPr txBox="1"/>
                    <wps:spPr>
                      <a:xfrm>
                        <a:off x="0" y="0"/>
                        <a:ext cx="1490345" cy="156845"/>
                      </a:xfrm>
                      <a:prstGeom prst="rect">
                        <a:avLst/>
                      </a:prstGeom>
                    </wps:spPr>
                    <wps:txbx>
                      <w:txbxContent>
                        <w:p w14:paraId="343D5D90" w14:textId="77777777" w:rsidR="00B0294D" w:rsidRDefault="00A0745E">
                          <w:pPr>
                            <w:pStyle w:val="BodyText"/>
                            <w:spacing w:line="232" w:lineRule="exact"/>
                            <w:ind w:left="20"/>
                          </w:pPr>
                          <w:r>
                            <w:rPr>
                              <w:rFonts w:ascii="Sylfaen"/>
                              <w:color w:val="585858"/>
                            </w:rPr>
                            <w:t>Asep</w:t>
                          </w:r>
                          <w:r>
                            <w:rPr>
                              <w:rFonts w:ascii="Sylfaen"/>
                              <w:color w:val="585858"/>
                              <w:spacing w:val="-3"/>
                            </w:rPr>
                            <w:t xml:space="preserve"> </w:t>
                          </w:r>
                          <w:r>
                            <w:rPr>
                              <w:rFonts w:ascii="Sylfaen"/>
                              <w:color w:val="585858"/>
                            </w:rPr>
                            <w:t>Medical</w:t>
                          </w:r>
                          <w:r>
                            <w:rPr>
                              <w:rFonts w:ascii="Sylfaen"/>
                              <w:color w:val="585858"/>
                              <w:spacing w:val="-5"/>
                            </w:rPr>
                            <w:t xml:space="preserve"> </w:t>
                          </w:r>
                          <w:r>
                            <w:rPr>
                              <w:rFonts w:ascii="Sylfaen"/>
                              <w:color w:val="585858"/>
                            </w:rPr>
                            <w:t>Holdings</w:t>
                          </w:r>
                          <w:r>
                            <w:rPr>
                              <w:rFonts w:ascii="Sylfaen"/>
                              <w:color w:val="585858"/>
                              <w:spacing w:val="-4"/>
                            </w:rPr>
                            <w:t xml:space="preserve"> Inc</w:t>
                          </w:r>
                          <w:r>
                            <w:rPr>
                              <w:color w:val="585858"/>
                              <w:spacing w:val="-4"/>
                            </w:rPr>
                            <w:t>.</w:t>
                          </w:r>
                        </w:p>
                      </w:txbxContent>
                    </wps:txbx>
                    <wps:bodyPr wrap="square" lIns="0" tIns="0" rIns="0" bIns="0" rtlCol="0"/>
                  </wps:wsp>
                </a:graphicData>
              </a:graphic>
            </wp:anchor>
          </w:drawing>
        </mc:Choice>
        <mc:Fallback>
          <w:pict>
            <v:shapetype w14:anchorId="050528D2" id="_x0000_t202" coordsize="21600,21600" o:spt="202" path="m,l,21600r21600,l21600,xe">
              <v:stroke joinstyle="miter"/>
              <v:path gradientshapeok="t" o:connecttype="rect"/>
            </v:shapetype>
            <v:shape id="Textbox 2" o:spid="_x0000_s1026" type="#_x0000_t202" style="position:absolute;margin-left:247.35pt;margin-top:110.05pt;width:117.35pt;height:12.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" filled="f" stroked="f">
              <v:textbox inset="0,0,0,0">
                <w:txbxContent>
                  <w:p w14:paraId="343D5D90" w14:textId="77777777" w:rsidR="00B0294D" w:rsidRDefault="00A0745E">
                    <w:pPr>
                      <w:pStyle w:val="BodyText"/>
                      <w:spacing w:line="232" w:lineRule="exact"/>
                      <w:ind w:left="20"/>
                    </w:pPr>
                    <w:r>
                      <w:rPr>
                        <w:rFonts w:ascii="Sylfaen"/>
                        <w:color w:val="585858"/>
                      </w:rPr>
                      <w:t>Asep</w:t>
                    </w:r>
                    <w:r>
                      <w:rPr>
                        <w:rFonts w:ascii="Sylfaen"/>
                        <w:color w:val="585858"/>
                        <w:spacing w:val="-3"/>
                      </w:rPr>
                      <w:t xml:space="preserve"> </w:t>
                    </w:r>
                    <w:r>
                      <w:rPr>
                        <w:rFonts w:ascii="Sylfaen"/>
                        <w:color w:val="585858"/>
                      </w:rPr>
                      <w:t>Medical</w:t>
                    </w:r>
                    <w:r>
                      <w:rPr>
                        <w:rFonts w:ascii="Sylfaen"/>
                        <w:color w:val="585858"/>
                        <w:spacing w:val="-5"/>
                      </w:rPr>
                      <w:t xml:space="preserve"> </w:t>
                    </w:r>
                    <w:r>
                      <w:rPr>
                        <w:rFonts w:ascii="Sylfaen"/>
                        <w:color w:val="585858"/>
                      </w:rPr>
                      <w:t>Holdings</w:t>
                    </w:r>
                    <w:r>
                      <w:rPr>
                        <w:rFonts w:ascii="Sylfaen"/>
                        <w:color w:val="585858"/>
                        <w:spacing w:val="-4"/>
                      </w:rPr>
                      <w:t xml:space="preserve"> Inc</w:t>
                    </w:r>
                    <w:r>
                      <w:rPr>
                        <w:color w:val="585858"/>
                        <w:spacing w:val="-4"/>
                      </w:rPr>
                      <w:t>.</w:t>
                    </w:r>
                  </w:p>
                </w:txbxContent>
              </v:textbox>
              <w10:wrap anchorx="page" anchory="page"/>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4D"/>
    <w:rsid w:val="00001199"/>
    <w:rsid w:val="00012DF1"/>
    <w:rsid w:val="0005296C"/>
    <w:rsid w:val="000A1B04"/>
    <w:rsid w:val="000B32E8"/>
    <w:rsid w:val="000C4997"/>
    <w:rsid w:val="000C5B69"/>
    <w:rsid w:val="000D43AF"/>
    <w:rsid w:val="00133C5E"/>
    <w:rsid w:val="00144F67"/>
    <w:rsid w:val="00170ADB"/>
    <w:rsid w:val="00197035"/>
    <w:rsid w:val="001C2611"/>
    <w:rsid w:val="001D6CA6"/>
    <w:rsid w:val="001E21C1"/>
    <w:rsid w:val="001F32CD"/>
    <w:rsid w:val="00210406"/>
    <w:rsid w:val="00237438"/>
    <w:rsid w:val="00245983"/>
    <w:rsid w:val="00271B74"/>
    <w:rsid w:val="00281440"/>
    <w:rsid w:val="002822A5"/>
    <w:rsid w:val="002A1BA5"/>
    <w:rsid w:val="002B69C1"/>
    <w:rsid w:val="002F4CD3"/>
    <w:rsid w:val="00313776"/>
    <w:rsid w:val="00326D92"/>
    <w:rsid w:val="00337AED"/>
    <w:rsid w:val="00393F72"/>
    <w:rsid w:val="004233EC"/>
    <w:rsid w:val="0042765A"/>
    <w:rsid w:val="00441A62"/>
    <w:rsid w:val="00460F8A"/>
    <w:rsid w:val="004F2503"/>
    <w:rsid w:val="005226C3"/>
    <w:rsid w:val="005336A4"/>
    <w:rsid w:val="00550C04"/>
    <w:rsid w:val="00567709"/>
    <w:rsid w:val="005C485F"/>
    <w:rsid w:val="005D7532"/>
    <w:rsid w:val="005E689E"/>
    <w:rsid w:val="005F02D5"/>
    <w:rsid w:val="006105C2"/>
    <w:rsid w:val="0062060C"/>
    <w:rsid w:val="00665600"/>
    <w:rsid w:val="00682A08"/>
    <w:rsid w:val="006A67B8"/>
    <w:rsid w:val="006A7EE4"/>
    <w:rsid w:val="006D161F"/>
    <w:rsid w:val="006E2CF7"/>
    <w:rsid w:val="006E2F0F"/>
    <w:rsid w:val="006F17C8"/>
    <w:rsid w:val="00716B9A"/>
    <w:rsid w:val="007246EE"/>
    <w:rsid w:val="00730830"/>
    <w:rsid w:val="007552FC"/>
    <w:rsid w:val="007564C8"/>
    <w:rsid w:val="007904F6"/>
    <w:rsid w:val="007A29DA"/>
    <w:rsid w:val="00812BDF"/>
    <w:rsid w:val="008439F9"/>
    <w:rsid w:val="00843A7E"/>
    <w:rsid w:val="00877348"/>
    <w:rsid w:val="00893209"/>
    <w:rsid w:val="008A1CAB"/>
    <w:rsid w:val="008A2C0D"/>
    <w:rsid w:val="008C7F25"/>
    <w:rsid w:val="008E7BB6"/>
    <w:rsid w:val="009221D7"/>
    <w:rsid w:val="0093639E"/>
    <w:rsid w:val="009414F2"/>
    <w:rsid w:val="0095291C"/>
    <w:rsid w:val="00970BE8"/>
    <w:rsid w:val="00A0745E"/>
    <w:rsid w:val="00A33EA5"/>
    <w:rsid w:val="00A52D45"/>
    <w:rsid w:val="00AA78FC"/>
    <w:rsid w:val="00AB1A65"/>
    <w:rsid w:val="00AF1E23"/>
    <w:rsid w:val="00B0294D"/>
    <w:rsid w:val="00B069F6"/>
    <w:rsid w:val="00B3515E"/>
    <w:rsid w:val="00B513F6"/>
    <w:rsid w:val="00B57DBB"/>
    <w:rsid w:val="00B7431F"/>
    <w:rsid w:val="00B81ADB"/>
    <w:rsid w:val="00B92541"/>
    <w:rsid w:val="00BD6BD0"/>
    <w:rsid w:val="00BE743F"/>
    <w:rsid w:val="00BF4D04"/>
    <w:rsid w:val="00C2791C"/>
    <w:rsid w:val="00C45678"/>
    <w:rsid w:val="00C97CA5"/>
    <w:rsid w:val="00CD7553"/>
    <w:rsid w:val="00D14E7B"/>
    <w:rsid w:val="00D55322"/>
    <w:rsid w:val="00D60AF9"/>
    <w:rsid w:val="00D70226"/>
    <w:rsid w:val="00D756E5"/>
    <w:rsid w:val="00DB75CD"/>
    <w:rsid w:val="00DC7B4F"/>
    <w:rsid w:val="00DD06A9"/>
    <w:rsid w:val="00DE538F"/>
    <w:rsid w:val="00E05523"/>
    <w:rsid w:val="00E30A41"/>
    <w:rsid w:val="00E35821"/>
    <w:rsid w:val="00E579DC"/>
    <w:rsid w:val="00EE7A20"/>
    <w:rsid w:val="00F70212"/>
    <w:rsid w:val="00F711AA"/>
    <w:rsid w:val="00F845F7"/>
    <w:rsid w:val="00F87DDA"/>
    <w:rsid w:val="00F91E4D"/>
    <w:rsid w:val="00FA4B2B"/>
    <w:rsid w:val="00FA5D9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1FCCD"/>
  <w15:docId w15:val="{129424D9-2365-4826-8431-AF45F22D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ind w:right="2"/>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F2503"/>
    <w:pPr>
      <w:widowControl/>
      <w:autoSpaceDE/>
      <w:autoSpaceDN/>
    </w:pPr>
    <w:rPr>
      <w:rFonts w:ascii="Calibri" w:eastAsia="Calibri" w:hAnsi="Calibri" w:cs="Calibri"/>
    </w:rPr>
  </w:style>
  <w:style w:type="paragraph" w:styleId="NormalWeb">
    <w:name w:val="Normal (Web)"/>
    <w:basedOn w:val="Normal"/>
    <w:uiPriority w:val="99"/>
    <w:semiHidden/>
    <w:unhideWhenUsed/>
    <w:rsid w:val="00C4567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5291C"/>
    <w:rPr>
      <w:sz w:val="16"/>
      <w:szCs w:val="16"/>
    </w:rPr>
  </w:style>
  <w:style w:type="paragraph" w:styleId="CommentText">
    <w:name w:val="annotation text"/>
    <w:basedOn w:val="Normal"/>
    <w:link w:val="CommentTextChar"/>
    <w:uiPriority w:val="99"/>
    <w:unhideWhenUsed/>
    <w:rsid w:val="0095291C"/>
    <w:rPr>
      <w:sz w:val="20"/>
      <w:szCs w:val="20"/>
    </w:rPr>
  </w:style>
  <w:style w:type="character" w:customStyle="1" w:styleId="CommentTextChar">
    <w:name w:val="Comment Text Char"/>
    <w:basedOn w:val="DefaultParagraphFont"/>
    <w:link w:val="CommentText"/>
    <w:uiPriority w:val="99"/>
    <w:rsid w:val="0095291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5291C"/>
    <w:rPr>
      <w:b/>
      <w:bCs/>
    </w:rPr>
  </w:style>
  <w:style w:type="character" w:customStyle="1" w:styleId="CommentSubjectChar">
    <w:name w:val="Comment Subject Char"/>
    <w:basedOn w:val="CommentTextChar"/>
    <w:link w:val="CommentSubject"/>
    <w:uiPriority w:val="99"/>
    <w:semiHidden/>
    <w:rsid w:val="0095291C"/>
    <w:rPr>
      <w:rFonts w:ascii="Calibri" w:eastAsia="Calibri" w:hAnsi="Calibri" w:cs="Calibri"/>
      <w:b/>
      <w:bCs/>
      <w:sz w:val="20"/>
      <w:szCs w:val="20"/>
    </w:rPr>
  </w:style>
  <w:style w:type="paragraph" w:styleId="Header">
    <w:name w:val="header"/>
    <w:basedOn w:val="Normal"/>
    <w:link w:val="HeaderChar"/>
    <w:uiPriority w:val="99"/>
    <w:unhideWhenUsed/>
    <w:rsid w:val="00F711AA"/>
    <w:pPr>
      <w:tabs>
        <w:tab w:val="center" w:pos="4320"/>
        <w:tab w:val="right" w:pos="8640"/>
      </w:tabs>
    </w:pPr>
  </w:style>
  <w:style w:type="character" w:customStyle="1" w:styleId="HeaderChar">
    <w:name w:val="Header Char"/>
    <w:basedOn w:val="DefaultParagraphFont"/>
    <w:link w:val="Header"/>
    <w:uiPriority w:val="99"/>
    <w:rsid w:val="00F711AA"/>
    <w:rPr>
      <w:rFonts w:ascii="Calibri" w:eastAsia="Calibri" w:hAnsi="Calibri" w:cs="Calibri"/>
    </w:rPr>
  </w:style>
  <w:style w:type="paragraph" w:styleId="Footer">
    <w:name w:val="footer"/>
    <w:basedOn w:val="Normal"/>
    <w:link w:val="FooterChar"/>
    <w:uiPriority w:val="99"/>
    <w:unhideWhenUsed/>
    <w:rsid w:val="00F711AA"/>
    <w:pPr>
      <w:tabs>
        <w:tab w:val="center" w:pos="4320"/>
        <w:tab w:val="right" w:pos="8640"/>
      </w:tabs>
    </w:pPr>
  </w:style>
  <w:style w:type="character" w:customStyle="1" w:styleId="FooterChar">
    <w:name w:val="Footer Char"/>
    <w:basedOn w:val="DefaultParagraphFont"/>
    <w:link w:val="Footer"/>
    <w:uiPriority w:val="99"/>
    <w:rsid w:val="00F711A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hris@asepmedica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IMANAGE!34122826.1</documentid>
  <senderid>JODY.BELLY@GROUPETCJ.CA</senderid>
  <senderemail>JODY.BELLY@GROUPETCJ.CA</senderemail>
  <lastmodified>2026-10-09T12:55:00.0000000-04:00</lastmodified>
  <database>IMANAGE</database>
</properties>
</file>

<file path=customXml/itemProps1.xml><?xml version="1.0" encoding="utf-8"?>
<ds:datastoreItem xmlns:ds="http://schemas.openxmlformats.org/officeDocument/2006/customXml" ds:itemID="{2697976C-049E-4069-85A7-BAA50DE5D27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903</Words>
  <Characters>5143</Characters>
  <Application>Microsoft Office Word</Application>
  <DocSecurity>0</DocSecurity>
  <Lines>72</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Lauralia Jinerenco</dc:creator>
  <cp:lastModifiedBy>Chris Dallin</cp:lastModifiedBy>
  <cp:revision>4</cp:revision>
  <dcterms:created xsi:type="dcterms:W3CDTF">2026-10-09T16:55:00Z</dcterms:created>
  <dcterms:modified xsi:type="dcterms:W3CDTF">2026-10-09T18:51:00Z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2026-04-29T00:00:00Z</vt:filetime>
  </property>
  <property fmtid="{D5CDD505-2E9C-101B-9397-08002B2CF9AE}" pid="3" name="Creator">
    <vt:lpwstr>PDFium</vt:lpwstr>
  </property>
  <property fmtid="{D5CDD505-2E9C-101B-9397-08002B2CF9AE}" pid="4" name="JEWJCDocID">
    <vt:lpwstr>ee4a6efe-c9f2-45c2-9417-7d418b6d0014</vt:lpwstr>
  </property>
  <property fmtid="{D5CDD505-2E9C-101B-9397-08002B2CF9AE}" pid="5" name="LastSaved">
    <vt:filetime>2026-04-29T00:00:00Z</vt:filetime>
  </property>
  <property fmtid="{D5CDD505-2E9C-101B-9397-08002B2CF9AE}" pid="6" name="Producer">
    <vt:lpwstr>PDFium</vt:lpwstr>
  </property>
</Properties>
</file>