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E6492B" w14:textId="77777777" w:rsidR="00B0294D" w:rsidRDefault="00B0294D" w:rsidP="000741DD">
      <w:pPr>
        <w:pStyle w:val="BodyText"/>
        <w:spacing w:before="38"/>
        <w:rPr>
          <w:rFonts w:ascii="Times New Roman"/>
        </w:rPr>
      </w:pPr>
    </w:p>
    <w:p w14:paraId="4491D64E" w14:textId="77777777" w:rsidR="00B0294D" w:rsidRDefault="00A0745E" w:rsidP="000741DD">
      <w:pPr>
        <w:pStyle w:val="Heading1"/>
        <w:ind w:left="2" w:right="2"/>
        <w:jc w:val="center"/>
      </w:pPr>
      <w:r>
        <w:rPr>
          <w:u w:val="single"/>
        </w:rPr>
        <w:t>FOR</w:t>
      </w:r>
      <w:r>
        <w:rPr>
          <w:spacing w:val="-1"/>
          <w:u w:val="single"/>
        </w:rPr>
        <w:t xml:space="preserve"> </w:t>
      </w:r>
      <w:r>
        <w:rPr>
          <w:u w:val="single"/>
        </w:rPr>
        <w:t>IMMEDIATE</w:t>
      </w:r>
      <w:r>
        <w:rPr>
          <w:spacing w:val="-3"/>
          <w:u w:val="single"/>
        </w:rPr>
        <w:t xml:space="preserve"> </w:t>
      </w:r>
      <w:r>
        <w:rPr>
          <w:spacing w:val="-2"/>
          <w:u w:val="single"/>
        </w:rPr>
        <w:t>RELEASE</w:t>
      </w:r>
    </w:p>
    <w:p w14:paraId="29D74674" w14:textId="77777777" w:rsidR="00B0294D" w:rsidRDefault="00B0294D" w:rsidP="000741DD">
      <w:pPr>
        <w:pStyle w:val="BodyText"/>
        <w:spacing w:before="148"/>
        <w:jc w:val="center"/>
        <w:rPr>
          <w:b/>
          <w:sz w:val="28"/>
        </w:rPr>
      </w:pPr>
    </w:p>
    <w:p w14:paraId="73930CC7" w14:textId="77777777" w:rsidR="000741DD" w:rsidRDefault="00A0745E" w:rsidP="000741DD">
      <w:pPr>
        <w:pStyle w:val="Title"/>
        <w:spacing w:line="360" w:lineRule="auto"/>
      </w:pPr>
      <w:r>
        <w:t>Asep</w:t>
      </w:r>
      <w:r>
        <w:rPr>
          <w:spacing w:val="-5"/>
        </w:rPr>
        <w:t xml:space="preserve"> </w:t>
      </w:r>
      <w:r>
        <w:t>Medical</w:t>
      </w:r>
      <w:r>
        <w:rPr>
          <w:spacing w:val="-2"/>
        </w:rPr>
        <w:t xml:space="preserve"> </w:t>
      </w:r>
      <w:r w:rsidRPr="00D756E5">
        <w:t xml:space="preserve">Announces </w:t>
      </w:r>
      <w:r>
        <w:t xml:space="preserve">Retention of 45% </w:t>
      </w:r>
      <w:r w:rsidR="008C7F25" w:rsidRPr="008C7F25">
        <w:t>Voting Interest</w:t>
      </w:r>
      <w:r>
        <w:t xml:space="preserve"> </w:t>
      </w:r>
    </w:p>
    <w:p w14:paraId="42B69AFF" w14:textId="1FBEBE30" w:rsidR="00D14E7B" w:rsidRDefault="00A0745E" w:rsidP="000741DD">
      <w:pPr>
        <w:pStyle w:val="Title"/>
        <w:spacing w:line="360" w:lineRule="auto"/>
      </w:pPr>
      <w:r w:rsidRPr="007904F6">
        <w:t>in</w:t>
      </w:r>
      <w:r>
        <w:t xml:space="preserve"> ABT and Sepset and 5% </w:t>
      </w:r>
      <w:r w:rsidR="008C7F25" w:rsidRPr="008C7F25">
        <w:t>Preferred Share Interest</w:t>
      </w:r>
    </w:p>
    <w:p w14:paraId="7264EDB8" w14:textId="77777777" w:rsidR="00B0294D" w:rsidRDefault="00B0294D" w:rsidP="000741DD">
      <w:pPr>
        <w:pStyle w:val="BodyText"/>
        <w:spacing w:before="193"/>
        <w:rPr>
          <w:b/>
          <w:sz w:val="28"/>
        </w:rPr>
      </w:pPr>
    </w:p>
    <w:p w14:paraId="250097D1" w14:textId="5E557444" w:rsidR="008A2C0D" w:rsidRDefault="00A0745E" w:rsidP="000741DD">
      <w:pPr>
        <w:spacing w:after="240" w:line="360" w:lineRule="auto"/>
        <w:rPr>
          <w:sz w:val="20"/>
          <w:szCs w:val="20"/>
        </w:rPr>
      </w:pPr>
      <w:r w:rsidRPr="0042765A">
        <w:rPr>
          <w:sz w:val="20"/>
          <w:szCs w:val="20"/>
        </w:rPr>
        <w:t>VANCOUVER,</w:t>
      </w:r>
      <w:r w:rsidRPr="0042765A">
        <w:rPr>
          <w:spacing w:val="-3"/>
          <w:sz w:val="20"/>
          <w:szCs w:val="20"/>
        </w:rPr>
        <w:t xml:space="preserve"> </w:t>
      </w:r>
      <w:r w:rsidRPr="0042765A">
        <w:rPr>
          <w:sz w:val="20"/>
          <w:szCs w:val="20"/>
        </w:rPr>
        <w:t>BC,</w:t>
      </w:r>
      <w:r w:rsidRPr="0042765A">
        <w:rPr>
          <w:spacing w:val="-1"/>
          <w:sz w:val="20"/>
          <w:szCs w:val="20"/>
        </w:rPr>
        <w:t xml:space="preserve"> </w:t>
      </w:r>
      <w:r w:rsidRPr="0042765A">
        <w:rPr>
          <w:sz w:val="20"/>
          <w:szCs w:val="20"/>
        </w:rPr>
        <w:t>September</w:t>
      </w:r>
      <w:r w:rsidR="00460F8A">
        <w:rPr>
          <w:sz w:val="20"/>
          <w:szCs w:val="20"/>
        </w:rPr>
        <w:t xml:space="preserve"> </w:t>
      </w:r>
      <w:r w:rsidR="008B4B42">
        <w:rPr>
          <w:sz w:val="20"/>
          <w:szCs w:val="20"/>
        </w:rPr>
        <w:t>4</w:t>
      </w:r>
      <w:r w:rsidRPr="0042765A">
        <w:rPr>
          <w:sz w:val="20"/>
          <w:szCs w:val="20"/>
        </w:rPr>
        <w:t>,</w:t>
      </w:r>
      <w:r w:rsidRPr="0042765A">
        <w:rPr>
          <w:spacing w:val="-2"/>
          <w:sz w:val="20"/>
          <w:szCs w:val="20"/>
        </w:rPr>
        <w:t xml:space="preserve"> </w:t>
      </w:r>
      <w:r w:rsidRPr="0042765A">
        <w:rPr>
          <w:sz w:val="20"/>
          <w:szCs w:val="20"/>
        </w:rPr>
        <w:t>2026</w:t>
      </w:r>
      <w:r w:rsidRPr="0042765A">
        <w:rPr>
          <w:spacing w:val="-5"/>
          <w:sz w:val="20"/>
          <w:szCs w:val="20"/>
        </w:rPr>
        <w:t xml:space="preserve"> </w:t>
      </w:r>
      <w:r w:rsidRPr="0042765A">
        <w:rPr>
          <w:sz w:val="20"/>
          <w:szCs w:val="20"/>
        </w:rPr>
        <w:t>—</w:t>
      </w:r>
      <w:r w:rsidRPr="0042765A">
        <w:rPr>
          <w:spacing w:val="1"/>
          <w:sz w:val="20"/>
          <w:szCs w:val="20"/>
        </w:rPr>
        <w:t xml:space="preserve"> </w:t>
      </w:r>
      <w:r w:rsidRPr="0042765A">
        <w:rPr>
          <w:b/>
          <w:bCs/>
          <w:sz w:val="20"/>
          <w:szCs w:val="20"/>
        </w:rPr>
        <w:t>Asep</w:t>
      </w:r>
      <w:r w:rsidRPr="0042765A">
        <w:rPr>
          <w:b/>
          <w:bCs/>
          <w:spacing w:val="-1"/>
          <w:sz w:val="20"/>
          <w:szCs w:val="20"/>
        </w:rPr>
        <w:t xml:space="preserve"> </w:t>
      </w:r>
      <w:r w:rsidRPr="0042765A">
        <w:rPr>
          <w:b/>
          <w:bCs/>
          <w:sz w:val="20"/>
          <w:szCs w:val="20"/>
        </w:rPr>
        <w:t>Medical</w:t>
      </w:r>
      <w:r w:rsidRPr="0042765A">
        <w:rPr>
          <w:b/>
          <w:bCs/>
          <w:spacing w:val="-2"/>
          <w:sz w:val="20"/>
          <w:szCs w:val="20"/>
        </w:rPr>
        <w:t xml:space="preserve"> </w:t>
      </w:r>
      <w:r w:rsidRPr="0042765A">
        <w:rPr>
          <w:b/>
          <w:bCs/>
          <w:sz w:val="20"/>
          <w:szCs w:val="20"/>
        </w:rPr>
        <w:t>Holdings</w:t>
      </w:r>
      <w:r w:rsidRPr="0042765A">
        <w:rPr>
          <w:b/>
          <w:bCs/>
          <w:spacing w:val="-3"/>
          <w:sz w:val="20"/>
          <w:szCs w:val="20"/>
        </w:rPr>
        <w:t xml:space="preserve"> </w:t>
      </w:r>
      <w:r w:rsidRPr="0042765A">
        <w:rPr>
          <w:b/>
          <w:bCs/>
          <w:sz w:val="20"/>
          <w:szCs w:val="20"/>
        </w:rPr>
        <w:t>Inc.</w:t>
      </w:r>
      <w:r w:rsidRPr="0042765A">
        <w:rPr>
          <w:b/>
          <w:bCs/>
          <w:spacing w:val="-1"/>
          <w:sz w:val="20"/>
          <w:szCs w:val="20"/>
        </w:rPr>
        <w:t xml:space="preserve"> </w:t>
      </w:r>
      <w:r w:rsidRPr="0042765A">
        <w:rPr>
          <w:b/>
          <w:bCs/>
          <w:sz w:val="20"/>
          <w:szCs w:val="20"/>
        </w:rPr>
        <w:t>(“Asep”</w:t>
      </w:r>
      <w:r w:rsidRPr="0042765A">
        <w:rPr>
          <w:b/>
          <w:bCs/>
          <w:spacing w:val="-2"/>
          <w:sz w:val="20"/>
          <w:szCs w:val="20"/>
        </w:rPr>
        <w:t xml:space="preserve"> </w:t>
      </w:r>
      <w:r w:rsidRPr="0042765A">
        <w:rPr>
          <w:sz w:val="20"/>
          <w:szCs w:val="20"/>
        </w:rPr>
        <w:t>or</w:t>
      </w:r>
      <w:r w:rsidRPr="0042765A">
        <w:rPr>
          <w:spacing w:val="-3"/>
          <w:sz w:val="20"/>
          <w:szCs w:val="20"/>
        </w:rPr>
        <w:t xml:space="preserve"> </w:t>
      </w:r>
      <w:r w:rsidRPr="0042765A">
        <w:rPr>
          <w:sz w:val="20"/>
          <w:szCs w:val="20"/>
        </w:rPr>
        <w:t>the</w:t>
      </w:r>
      <w:r w:rsidRPr="0042765A">
        <w:rPr>
          <w:spacing w:val="-2"/>
          <w:sz w:val="20"/>
          <w:szCs w:val="20"/>
        </w:rPr>
        <w:t xml:space="preserve"> </w:t>
      </w:r>
      <w:r w:rsidRPr="0042765A">
        <w:rPr>
          <w:b/>
          <w:bCs/>
          <w:sz w:val="20"/>
          <w:szCs w:val="20"/>
        </w:rPr>
        <w:t>“Company”)</w:t>
      </w:r>
      <w:r w:rsidRPr="0042765A">
        <w:rPr>
          <w:b/>
          <w:bCs/>
          <w:spacing w:val="-1"/>
          <w:sz w:val="20"/>
          <w:szCs w:val="20"/>
        </w:rPr>
        <w:t xml:space="preserve"> </w:t>
      </w:r>
      <w:r w:rsidRPr="0042765A">
        <w:rPr>
          <w:b/>
          <w:bCs/>
          <w:sz w:val="20"/>
          <w:szCs w:val="20"/>
        </w:rPr>
        <w:t>(CSE:</w:t>
      </w:r>
      <w:r w:rsidRPr="0042765A">
        <w:rPr>
          <w:b/>
          <w:bCs/>
          <w:spacing w:val="-2"/>
          <w:sz w:val="20"/>
          <w:szCs w:val="20"/>
        </w:rPr>
        <w:t xml:space="preserve"> </w:t>
      </w:r>
      <w:r w:rsidRPr="0042765A">
        <w:rPr>
          <w:b/>
          <w:bCs/>
          <w:sz w:val="20"/>
          <w:szCs w:val="20"/>
        </w:rPr>
        <w:t>ASEP)</w:t>
      </w:r>
      <w:r w:rsidRPr="0042765A">
        <w:rPr>
          <w:b/>
          <w:bCs/>
          <w:spacing w:val="-5"/>
          <w:sz w:val="20"/>
          <w:szCs w:val="20"/>
        </w:rPr>
        <w:t xml:space="preserve"> </w:t>
      </w:r>
      <w:r w:rsidRPr="0042765A">
        <w:rPr>
          <w:b/>
          <w:bCs/>
          <w:spacing w:val="-2"/>
          <w:sz w:val="20"/>
          <w:szCs w:val="20"/>
        </w:rPr>
        <w:t>(OTCQB:</w:t>
      </w:r>
      <w:r w:rsidRPr="0042765A">
        <w:rPr>
          <w:b/>
          <w:bCs/>
          <w:sz w:val="20"/>
          <w:szCs w:val="20"/>
        </w:rPr>
        <w:t>SEPSF)</w:t>
      </w:r>
      <w:r w:rsidRPr="0042765A">
        <w:rPr>
          <w:b/>
          <w:bCs/>
          <w:spacing w:val="-2"/>
          <w:sz w:val="20"/>
          <w:szCs w:val="20"/>
        </w:rPr>
        <w:t xml:space="preserve"> </w:t>
      </w:r>
      <w:r w:rsidRPr="0042765A">
        <w:rPr>
          <w:b/>
          <w:bCs/>
          <w:sz w:val="20"/>
          <w:szCs w:val="20"/>
        </w:rPr>
        <w:t>(FSE:</w:t>
      </w:r>
      <w:r w:rsidRPr="0042765A">
        <w:rPr>
          <w:b/>
          <w:bCs/>
          <w:spacing w:val="-2"/>
          <w:sz w:val="20"/>
          <w:szCs w:val="20"/>
        </w:rPr>
        <w:t xml:space="preserve"> </w:t>
      </w:r>
      <w:r w:rsidRPr="0042765A">
        <w:rPr>
          <w:b/>
          <w:bCs/>
          <w:sz w:val="20"/>
          <w:szCs w:val="20"/>
        </w:rPr>
        <w:t xml:space="preserve">JJ8) </w:t>
      </w:r>
      <w:r w:rsidRPr="0042765A">
        <w:rPr>
          <w:sz w:val="20"/>
          <w:szCs w:val="20"/>
        </w:rPr>
        <w:t xml:space="preserve">announces that, following extensive negotiations with </w:t>
      </w:r>
      <w:r w:rsidR="00C97CA5">
        <w:rPr>
          <w:sz w:val="20"/>
          <w:szCs w:val="20"/>
        </w:rPr>
        <w:t xml:space="preserve">the management of </w:t>
      </w:r>
      <w:r w:rsidRPr="0042765A">
        <w:rPr>
          <w:sz w:val="20"/>
          <w:szCs w:val="20"/>
        </w:rPr>
        <w:t>ABT Innovations Inc. (“</w:t>
      </w:r>
      <w:r w:rsidRPr="0042765A">
        <w:rPr>
          <w:b/>
          <w:bCs/>
          <w:sz w:val="20"/>
          <w:szCs w:val="20"/>
        </w:rPr>
        <w:t>ABT</w:t>
      </w:r>
      <w:r w:rsidRPr="0042765A">
        <w:rPr>
          <w:sz w:val="20"/>
          <w:szCs w:val="20"/>
        </w:rPr>
        <w:t>”) and Sepset Biosciences Inc. (“</w:t>
      </w:r>
      <w:r w:rsidRPr="0042765A">
        <w:rPr>
          <w:b/>
          <w:bCs/>
          <w:sz w:val="20"/>
          <w:szCs w:val="20"/>
        </w:rPr>
        <w:t>Sepset</w:t>
      </w:r>
      <w:r w:rsidRPr="0042765A">
        <w:rPr>
          <w:sz w:val="20"/>
          <w:szCs w:val="20"/>
        </w:rPr>
        <w:t xml:space="preserve">”), the Company has agreed to reduce its indirect shareholdings in each of ABT and Sepset from 50.1% to 45% in consideration for the settlement of intercompany indebtedness and the issuance </w:t>
      </w:r>
      <w:r w:rsidR="00C97CA5">
        <w:rPr>
          <w:sz w:val="20"/>
          <w:szCs w:val="20"/>
        </w:rPr>
        <w:t xml:space="preserve">of </w:t>
      </w:r>
      <w:r>
        <w:rPr>
          <w:sz w:val="20"/>
          <w:szCs w:val="20"/>
        </w:rPr>
        <w:t>one</w:t>
      </w:r>
      <w:r w:rsidRPr="0042765A">
        <w:rPr>
          <w:sz w:val="20"/>
          <w:szCs w:val="20"/>
        </w:rPr>
        <w:t xml:space="preserve"> preferred share</w:t>
      </w:r>
      <w:r>
        <w:rPr>
          <w:sz w:val="20"/>
          <w:szCs w:val="20"/>
        </w:rPr>
        <w:t xml:space="preserve"> in each</w:t>
      </w:r>
      <w:r w:rsidRPr="0042765A">
        <w:rPr>
          <w:sz w:val="20"/>
          <w:szCs w:val="20"/>
        </w:rPr>
        <w:t xml:space="preserve"> of ABT and Sepset</w:t>
      </w:r>
      <w:r>
        <w:rPr>
          <w:sz w:val="20"/>
          <w:szCs w:val="20"/>
        </w:rPr>
        <w:t xml:space="preserve"> in favour of Asep</w:t>
      </w:r>
      <w:r w:rsidR="00877348">
        <w:rPr>
          <w:sz w:val="20"/>
          <w:szCs w:val="20"/>
        </w:rPr>
        <w:t xml:space="preserve">, as evidenced in </w:t>
      </w:r>
      <w:r w:rsidR="00C97CA5">
        <w:rPr>
          <w:sz w:val="20"/>
          <w:szCs w:val="20"/>
        </w:rPr>
        <w:t xml:space="preserve">the </w:t>
      </w:r>
      <w:r w:rsidR="00877348">
        <w:rPr>
          <w:sz w:val="20"/>
          <w:szCs w:val="20"/>
        </w:rPr>
        <w:t>major shareholder agreements</w:t>
      </w:r>
      <w:r w:rsidR="001F32CD">
        <w:rPr>
          <w:sz w:val="20"/>
          <w:szCs w:val="20"/>
        </w:rPr>
        <w:t xml:space="preserve"> (the “</w:t>
      </w:r>
      <w:r w:rsidR="001F32CD" w:rsidRPr="001F32CD">
        <w:rPr>
          <w:b/>
          <w:bCs/>
          <w:sz w:val="20"/>
          <w:szCs w:val="20"/>
        </w:rPr>
        <w:t>Transaction</w:t>
      </w:r>
      <w:r w:rsidR="001F32CD">
        <w:rPr>
          <w:sz w:val="20"/>
          <w:szCs w:val="20"/>
        </w:rPr>
        <w:t>”)</w:t>
      </w:r>
      <w:r w:rsidRPr="0042765A">
        <w:rPr>
          <w:sz w:val="20"/>
          <w:szCs w:val="20"/>
        </w:rPr>
        <w:t>.</w:t>
      </w:r>
    </w:p>
    <w:p w14:paraId="3E10A83B" w14:textId="28C9D137" w:rsidR="00A0745E" w:rsidRDefault="00A0745E" w:rsidP="000741DD">
      <w:pPr>
        <w:spacing w:after="240" w:line="360" w:lineRule="auto"/>
      </w:pPr>
      <w:r w:rsidRPr="00970BE8">
        <w:rPr>
          <w:kern w:val="2"/>
          <w:sz w:val="20"/>
          <w:szCs w:val="20"/>
          <w:lang w:val="en-CA" w:eastAsia="fr-CA"/>
          <w14:ligatures w14:val="standardContextual"/>
        </w:rPr>
        <w:t xml:space="preserve">Asep </w:t>
      </w:r>
      <w:r w:rsidRPr="005C485F">
        <w:rPr>
          <w:sz w:val="20"/>
          <w:szCs w:val="20"/>
          <w:lang w:val="en-CA"/>
        </w:rPr>
        <w:t>structured</w:t>
      </w:r>
      <w:r w:rsidRPr="00970BE8">
        <w:rPr>
          <w:kern w:val="2"/>
          <w:sz w:val="20"/>
          <w:szCs w:val="20"/>
          <w:lang w:val="en-CA" w:eastAsia="fr-CA"/>
          <w14:ligatures w14:val="standardContextual"/>
        </w:rPr>
        <w:t xml:space="preserve"> the </w:t>
      </w:r>
      <w:r>
        <w:rPr>
          <w:kern w:val="2"/>
          <w:sz w:val="20"/>
          <w:szCs w:val="20"/>
          <w:lang w:val="en-CA" w:eastAsia="fr-CA"/>
          <w14:ligatures w14:val="standardContextual"/>
        </w:rPr>
        <w:t>T</w:t>
      </w:r>
      <w:r w:rsidRPr="00970BE8">
        <w:rPr>
          <w:kern w:val="2"/>
          <w:sz w:val="20"/>
          <w:szCs w:val="20"/>
          <w:lang w:val="en-CA" w:eastAsia="fr-CA"/>
          <w14:ligatures w14:val="standardContextual"/>
        </w:rPr>
        <w:t xml:space="preserve">ransaction to </w:t>
      </w:r>
      <w:r w:rsidRPr="005C485F">
        <w:rPr>
          <w:sz w:val="20"/>
          <w:szCs w:val="20"/>
          <w:lang w:val="en-CA"/>
        </w:rPr>
        <w:t xml:space="preserve">preserve </w:t>
      </w:r>
      <w:r w:rsidRPr="00970BE8">
        <w:rPr>
          <w:kern w:val="2"/>
          <w:sz w:val="20"/>
          <w:szCs w:val="20"/>
          <w:lang w:val="en-CA" w:eastAsia="fr-CA"/>
          <w14:ligatures w14:val="standardContextual"/>
        </w:rPr>
        <w:t xml:space="preserve">its economic </w:t>
      </w:r>
      <w:r w:rsidRPr="005C485F">
        <w:rPr>
          <w:sz w:val="20"/>
          <w:szCs w:val="20"/>
          <w:lang w:val="en-CA"/>
        </w:rPr>
        <w:t>exposure to ABT and Sepset notwithstanding</w:t>
      </w:r>
      <w:r w:rsidRPr="00970BE8">
        <w:rPr>
          <w:kern w:val="2"/>
          <w:sz w:val="20"/>
          <w:szCs w:val="20"/>
          <w:lang w:val="en-CA" w:eastAsia="fr-CA"/>
          <w14:ligatures w14:val="standardContextual"/>
        </w:rPr>
        <w:t xml:space="preserve"> the reduction in its </w:t>
      </w:r>
      <w:r w:rsidRPr="005C485F">
        <w:rPr>
          <w:sz w:val="20"/>
          <w:szCs w:val="20"/>
          <w:lang w:val="en-CA"/>
        </w:rPr>
        <w:t>common share</w:t>
      </w:r>
      <w:r w:rsidRPr="00970BE8">
        <w:rPr>
          <w:kern w:val="2"/>
          <w:sz w:val="20"/>
          <w:szCs w:val="20"/>
          <w:lang w:val="en-CA" w:eastAsia="fr-CA"/>
          <w14:ligatures w14:val="standardContextual"/>
        </w:rPr>
        <w:t xml:space="preserve"> ownership. </w:t>
      </w:r>
      <w:r w:rsidRPr="005C485F">
        <w:rPr>
          <w:sz w:val="20"/>
          <w:szCs w:val="20"/>
          <w:lang w:val="en-CA"/>
        </w:rPr>
        <w:t xml:space="preserve">As part of the </w:t>
      </w:r>
      <w:r>
        <w:rPr>
          <w:kern w:val="2"/>
          <w:sz w:val="20"/>
          <w:szCs w:val="20"/>
          <w:lang w:val="en-CA" w:eastAsia="fr-CA"/>
          <w14:ligatures w14:val="standardContextual"/>
        </w:rPr>
        <w:t xml:space="preserve">consideration, </w:t>
      </w:r>
      <w:r w:rsidRPr="005C485F">
        <w:rPr>
          <w:sz w:val="20"/>
          <w:szCs w:val="20"/>
          <w:lang w:val="en-CA"/>
        </w:rPr>
        <w:t>Asep will receive one</w:t>
      </w:r>
      <w:r w:rsidRPr="00970BE8">
        <w:rPr>
          <w:kern w:val="2"/>
          <w:sz w:val="20"/>
          <w:szCs w:val="20"/>
          <w:lang w:val="en-CA" w:eastAsia="fr-CA"/>
          <w14:ligatures w14:val="standardContextual"/>
        </w:rPr>
        <w:t xml:space="preserve"> preferred share </w:t>
      </w:r>
      <w:r>
        <w:rPr>
          <w:kern w:val="2"/>
          <w:sz w:val="20"/>
          <w:szCs w:val="20"/>
          <w:lang w:val="en-CA" w:eastAsia="fr-CA"/>
          <w14:ligatures w14:val="standardContextual"/>
        </w:rPr>
        <w:t xml:space="preserve">in each </w:t>
      </w:r>
      <w:r w:rsidRPr="005C485F">
        <w:rPr>
          <w:sz w:val="20"/>
          <w:szCs w:val="20"/>
          <w:lang w:val="en-CA"/>
        </w:rPr>
        <w:t xml:space="preserve">of ABT and Sepset, which is intended to </w:t>
      </w:r>
      <w:r w:rsidRPr="00970BE8">
        <w:rPr>
          <w:kern w:val="2"/>
          <w:sz w:val="20"/>
          <w:szCs w:val="20"/>
          <w:lang w:val="en-CA" w:eastAsia="fr-CA"/>
          <w14:ligatures w14:val="standardContextual"/>
        </w:rPr>
        <w:t xml:space="preserve">preserve the economic value associated with the 5% reduction in </w:t>
      </w:r>
      <w:r w:rsidRPr="005C485F">
        <w:rPr>
          <w:sz w:val="20"/>
          <w:szCs w:val="20"/>
          <w:lang w:val="en-CA"/>
        </w:rPr>
        <w:t>Asep’s</w:t>
      </w:r>
      <w:r w:rsidRPr="00970BE8">
        <w:rPr>
          <w:kern w:val="2"/>
          <w:sz w:val="20"/>
          <w:szCs w:val="20"/>
          <w:lang w:val="en-CA" w:eastAsia="fr-CA"/>
          <w14:ligatures w14:val="standardContextual"/>
        </w:rPr>
        <w:t xml:space="preserve"> common share ownership</w:t>
      </w:r>
      <w:r>
        <w:rPr>
          <w:kern w:val="2"/>
          <w:sz w:val="20"/>
          <w:szCs w:val="20"/>
          <w:lang w:val="en-CA" w:eastAsia="fr-CA"/>
          <w14:ligatures w14:val="standardContextual"/>
        </w:rPr>
        <w:t xml:space="preserve"> in each of ABT and Sepset. </w:t>
      </w:r>
      <w:r w:rsidRPr="00877348">
        <w:rPr>
          <w:kern w:val="2"/>
          <w:sz w:val="20"/>
          <w:szCs w:val="20"/>
          <w:lang w:val="en-CA" w:eastAsia="fr-CA"/>
          <w14:ligatures w14:val="standardContextual"/>
        </w:rPr>
        <w:t xml:space="preserve">The preferred </w:t>
      </w:r>
      <w:r w:rsidRPr="005C485F">
        <w:rPr>
          <w:sz w:val="20"/>
          <w:szCs w:val="20"/>
          <w:lang w:val="en-CA"/>
        </w:rPr>
        <w:t xml:space="preserve">shares will </w:t>
      </w:r>
      <w:r w:rsidRPr="00877348">
        <w:rPr>
          <w:kern w:val="2"/>
          <w:sz w:val="20"/>
          <w:szCs w:val="20"/>
          <w:lang w:val="en-CA" w:eastAsia="fr-CA"/>
          <w14:ligatures w14:val="standardContextual"/>
        </w:rPr>
        <w:t>not carry voting rights</w:t>
      </w:r>
      <w:r w:rsidRPr="005C485F">
        <w:rPr>
          <w:sz w:val="20"/>
          <w:szCs w:val="20"/>
          <w:lang w:val="en-CA"/>
        </w:rPr>
        <w:t xml:space="preserve"> but are expected to </w:t>
      </w:r>
      <w:r w:rsidRPr="00877348">
        <w:rPr>
          <w:kern w:val="2"/>
          <w:sz w:val="20"/>
          <w:szCs w:val="20"/>
          <w:lang w:val="en-CA" w:eastAsia="fr-CA"/>
          <w14:ligatures w14:val="standardContextual"/>
        </w:rPr>
        <w:t xml:space="preserve">provide Asep with </w:t>
      </w:r>
      <w:r w:rsidRPr="005C485F">
        <w:rPr>
          <w:sz w:val="20"/>
          <w:szCs w:val="20"/>
          <w:lang w:val="en-CA"/>
        </w:rPr>
        <w:t xml:space="preserve">a preferential economic entitlement based on </w:t>
      </w:r>
      <w:r w:rsidRPr="00877348">
        <w:rPr>
          <w:kern w:val="2"/>
          <w:sz w:val="20"/>
          <w:szCs w:val="20"/>
          <w:lang w:val="en-CA" w:eastAsia="fr-CA"/>
          <w14:ligatures w14:val="standardContextual"/>
        </w:rPr>
        <w:t xml:space="preserve">an annual percentage of net profits, payable quarterly, </w:t>
      </w:r>
      <w:r w:rsidRPr="005C485F">
        <w:rPr>
          <w:sz w:val="20"/>
          <w:szCs w:val="20"/>
          <w:lang w:val="en-CA"/>
        </w:rPr>
        <w:t xml:space="preserve">and structured to operate, to the extent permitted under the applicable governing documents and applicable law, </w:t>
      </w:r>
      <w:r w:rsidRPr="00877348">
        <w:rPr>
          <w:kern w:val="2"/>
          <w:sz w:val="20"/>
          <w:szCs w:val="20"/>
          <w:lang w:val="en-CA" w:eastAsia="fr-CA"/>
          <w14:ligatures w14:val="standardContextual"/>
        </w:rPr>
        <w:t xml:space="preserve">in a manner </w:t>
      </w:r>
      <w:r w:rsidRPr="005C485F">
        <w:rPr>
          <w:sz w:val="20"/>
          <w:szCs w:val="20"/>
          <w:lang w:val="en-CA"/>
        </w:rPr>
        <w:t>similar</w:t>
      </w:r>
      <w:r w:rsidRPr="00877348">
        <w:rPr>
          <w:kern w:val="2"/>
          <w:sz w:val="20"/>
          <w:szCs w:val="20"/>
          <w:lang w:val="en-CA" w:eastAsia="fr-CA"/>
          <w14:ligatures w14:val="standardContextual"/>
        </w:rPr>
        <w:t xml:space="preserve"> to a royalty. </w:t>
      </w:r>
      <w:r w:rsidRPr="005C485F">
        <w:rPr>
          <w:sz w:val="20"/>
          <w:szCs w:val="20"/>
          <w:lang w:val="en-CA"/>
        </w:rPr>
        <w:t>This</w:t>
      </w:r>
      <w:r w:rsidRPr="00877348">
        <w:rPr>
          <w:kern w:val="2"/>
          <w:sz w:val="20"/>
          <w:szCs w:val="20"/>
          <w:lang w:val="en-CA" w:eastAsia="fr-CA"/>
          <w14:ligatures w14:val="standardContextual"/>
        </w:rPr>
        <w:t xml:space="preserve"> entitlement may be satisfied through dividends, distributions, redemption</w:t>
      </w:r>
      <w:r>
        <w:rPr>
          <w:kern w:val="2"/>
          <w:sz w:val="20"/>
          <w:szCs w:val="20"/>
          <w:lang w:val="en-CA" w:eastAsia="fr-CA"/>
          <w14:ligatures w14:val="standardContextual"/>
        </w:rPr>
        <w:t>s</w:t>
      </w:r>
      <w:r w:rsidRPr="00877348">
        <w:rPr>
          <w:kern w:val="2"/>
          <w:sz w:val="20"/>
          <w:szCs w:val="20"/>
          <w:lang w:val="en-CA" w:eastAsia="fr-CA"/>
          <w14:ligatures w14:val="standardContextual"/>
        </w:rPr>
        <w:t xml:space="preserve"> or other permitted payments, as applicable</w:t>
      </w:r>
      <w:r w:rsidRPr="005C485F">
        <w:rPr>
          <w:sz w:val="20"/>
          <w:szCs w:val="20"/>
          <w:lang w:val="en-CA"/>
        </w:rPr>
        <w:t>.</w:t>
      </w:r>
      <w:r>
        <w:rPr>
          <w:kern w:val="2"/>
          <w:sz w:val="20"/>
          <w:szCs w:val="20"/>
          <w:lang w:val="en-CA" w:eastAsia="fr-CA"/>
          <w14:ligatures w14:val="standardContextual"/>
        </w:rPr>
        <w:t xml:space="preserve"> </w:t>
      </w:r>
      <w:r w:rsidRPr="005336A4">
        <w:rPr>
          <w:kern w:val="2"/>
          <w:sz w:val="20"/>
          <w:szCs w:val="20"/>
          <w:lang w:val="en-CA" w:eastAsia="fr-CA"/>
          <w14:ligatures w14:val="standardContextual"/>
        </w:rPr>
        <w:t xml:space="preserve">The </w:t>
      </w:r>
      <w:r>
        <w:rPr>
          <w:sz w:val="20"/>
          <w:szCs w:val="20"/>
          <w:lang w:val="en-CA"/>
        </w:rPr>
        <w:t>T</w:t>
      </w:r>
      <w:r w:rsidRPr="005C485F">
        <w:rPr>
          <w:sz w:val="20"/>
          <w:szCs w:val="20"/>
          <w:lang w:val="en-CA"/>
        </w:rPr>
        <w:t>ransaction also contemplate</w:t>
      </w:r>
      <w:r>
        <w:rPr>
          <w:sz w:val="20"/>
          <w:szCs w:val="20"/>
          <w:lang w:val="en-CA"/>
        </w:rPr>
        <w:t>s</w:t>
      </w:r>
      <w:r w:rsidRPr="005336A4">
        <w:rPr>
          <w:kern w:val="2"/>
          <w:sz w:val="20"/>
          <w:szCs w:val="20"/>
          <w:lang w:val="en-CA" w:eastAsia="fr-CA"/>
          <w14:ligatures w14:val="standardContextual"/>
        </w:rPr>
        <w:t xml:space="preserve"> liquidation event </w:t>
      </w:r>
      <w:r w:rsidRPr="005C485F">
        <w:rPr>
          <w:sz w:val="20"/>
          <w:szCs w:val="20"/>
          <w:lang w:val="en-CA"/>
        </w:rPr>
        <w:t>provisions pursuant to which</w:t>
      </w:r>
      <w:r w:rsidRPr="005336A4">
        <w:rPr>
          <w:kern w:val="2"/>
          <w:sz w:val="20"/>
          <w:szCs w:val="20"/>
          <w:lang w:val="en-CA" w:eastAsia="fr-CA"/>
          <w14:ligatures w14:val="standardContextual"/>
        </w:rPr>
        <w:t xml:space="preserve">, following the satisfaction of all debts, liabilities and obligations, Asep would first receive the amount payable in respect of its preferred </w:t>
      </w:r>
      <w:r w:rsidRPr="005C485F">
        <w:rPr>
          <w:sz w:val="20"/>
          <w:szCs w:val="20"/>
          <w:lang w:val="en-CA"/>
        </w:rPr>
        <w:t>shares</w:t>
      </w:r>
      <w:r w:rsidRPr="005336A4">
        <w:rPr>
          <w:kern w:val="2"/>
          <w:sz w:val="20"/>
          <w:szCs w:val="20"/>
          <w:lang w:val="en-CA" w:eastAsia="fr-CA"/>
          <w14:ligatures w14:val="standardContextual"/>
        </w:rPr>
        <w:t xml:space="preserve"> and would </w:t>
      </w:r>
      <w:r w:rsidRPr="005C485F">
        <w:rPr>
          <w:sz w:val="20"/>
          <w:szCs w:val="20"/>
          <w:lang w:val="en-CA"/>
        </w:rPr>
        <w:t>thereafter</w:t>
      </w:r>
      <w:r w:rsidRPr="005336A4">
        <w:rPr>
          <w:kern w:val="2"/>
          <w:sz w:val="20"/>
          <w:szCs w:val="20"/>
          <w:lang w:val="en-CA" w:eastAsia="fr-CA"/>
          <w14:ligatures w14:val="standardContextual"/>
        </w:rPr>
        <w:t xml:space="preserve"> participate in </w:t>
      </w:r>
      <w:r w:rsidRPr="005C485F">
        <w:rPr>
          <w:sz w:val="20"/>
          <w:szCs w:val="20"/>
          <w:lang w:val="en-CA"/>
        </w:rPr>
        <w:t>any</w:t>
      </w:r>
      <w:r w:rsidRPr="005336A4">
        <w:rPr>
          <w:kern w:val="2"/>
          <w:sz w:val="20"/>
          <w:szCs w:val="20"/>
          <w:lang w:val="en-CA" w:eastAsia="fr-CA"/>
          <w14:ligatures w14:val="standardContextual"/>
        </w:rPr>
        <w:t xml:space="preserve"> remaining proceeds in its capacity as a 45% shareholder, without duplication of recovery. </w:t>
      </w:r>
      <w:r w:rsidRPr="005C485F">
        <w:rPr>
          <w:sz w:val="20"/>
          <w:szCs w:val="20"/>
          <w:lang w:val="en-CA"/>
        </w:rPr>
        <w:t>Asep is also expected to remain actively involved in material operational and strategic decisions through its governance rights, including board representation and consent rights over certain key matters</w:t>
      </w:r>
      <w:r>
        <w:rPr>
          <w:kern w:val="2"/>
          <w:sz w:val="20"/>
          <w:szCs w:val="20"/>
          <w:lang w:val="en-CA" w:eastAsia="fr-CA"/>
          <w14:ligatures w14:val="standardContextual"/>
        </w:rPr>
        <w:t xml:space="preserve">. </w:t>
      </w:r>
      <w:r w:rsidRPr="00877348">
        <w:rPr>
          <w:kern w:val="2"/>
          <w:sz w:val="20"/>
          <w:szCs w:val="20"/>
          <w:lang w:val="en-CA" w:eastAsia="fr-CA"/>
          <w14:ligatures w14:val="standardContextual"/>
        </w:rPr>
        <w:t xml:space="preserve">The </w:t>
      </w:r>
      <w:r w:rsidRPr="005C485F">
        <w:rPr>
          <w:sz w:val="20"/>
          <w:szCs w:val="20"/>
          <w:lang w:val="en-CA"/>
        </w:rPr>
        <w:t xml:space="preserve">applicable shareholder agreements are also expected to </w:t>
      </w:r>
      <w:r w:rsidRPr="00877348">
        <w:rPr>
          <w:kern w:val="2"/>
          <w:sz w:val="20"/>
          <w:szCs w:val="20"/>
          <w:lang w:val="en-CA" w:eastAsia="fr-CA"/>
          <w14:ligatures w14:val="standardContextual"/>
        </w:rPr>
        <w:t xml:space="preserve">include </w:t>
      </w:r>
      <w:r w:rsidRPr="005C485F">
        <w:rPr>
          <w:sz w:val="20"/>
          <w:szCs w:val="20"/>
          <w:lang w:val="en-CA"/>
        </w:rPr>
        <w:t xml:space="preserve">customary </w:t>
      </w:r>
      <w:r w:rsidRPr="00877348">
        <w:rPr>
          <w:kern w:val="2"/>
          <w:sz w:val="20"/>
          <w:szCs w:val="20"/>
          <w:lang w:val="en-CA" w:eastAsia="fr-CA"/>
          <w14:ligatures w14:val="standardContextual"/>
        </w:rPr>
        <w:t xml:space="preserve">provisions governing the </w:t>
      </w:r>
      <w:r w:rsidRPr="005C485F">
        <w:rPr>
          <w:sz w:val="20"/>
          <w:szCs w:val="20"/>
          <w:lang w:val="en-CA"/>
        </w:rPr>
        <w:t>parties’</w:t>
      </w:r>
      <w:r w:rsidRPr="00877348">
        <w:rPr>
          <w:kern w:val="2"/>
          <w:sz w:val="20"/>
          <w:szCs w:val="20"/>
          <w:lang w:val="en-CA" w:eastAsia="fr-CA"/>
          <w14:ligatures w14:val="standardContextual"/>
        </w:rPr>
        <w:t xml:space="preserve"> relationship and </w:t>
      </w:r>
      <w:r w:rsidRPr="005C485F">
        <w:rPr>
          <w:sz w:val="20"/>
          <w:szCs w:val="20"/>
          <w:lang w:val="en-CA"/>
        </w:rPr>
        <w:t xml:space="preserve">their </w:t>
      </w:r>
      <w:r w:rsidRPr="00877348">
        <w:rPr>
          <w:kern w:val="2"/>
          <w:sz w:val="20"/>
          <w:szCs w:val="20"/>
          <w:lang w:val="en-CA" w:eastAsia="fr-CA"/>
          <w14:ligatures w14:val="standardContextual"/>
        </w:rPr>
        <w:t xml:space="preserve">dealings with </w:t>
      </w:r>
      <w:r>
        <w:rPr>
          <w:kern w:val="2"/>
          <w:sz w:val="20"/>
          <w:szCs w:val="20"/>
          <w:lang w:val="en-CA" w:eastAsia="fr-CA"/>
          <w14:ligatures w14:val="standardContextual"/>
        </w:rPr>
        <w:t>ABT and Sepset</w:t>
      </w:r>
      <w:r w:rsidRPr="00877348">
        <w:rPr>
          <w:kern w:val="2"/>
          <w:sz w:val="20"/>
          <w:szCs w:val="20"/>
          <w:lang w:val="en-CA" w:eastAsia="fr-CA"/>
          <w14:ligatures w14:val="standardContextual"/>
        </w:rPr>
        <w:t xml:space="preserve">, including provisions </w:t>
      </w:r>
      <w:r w:rsidR="00B3515E" w:rsidRPr="00B3515E">
        <w:rPr>
          <w:sz w:val="20"/>
          <w:szCs w:val="20"/>
          <w:lang w:val="en-CA"/>
        </w:rPr>
        <w:t>designed</w:t>
      </w:r>
      <w:r w:rsidRPr="00877348">
        <w:rPr>
          <w:kern w:val="2"/>
          <w:sz w:val="20"/>
          <w:szCs w:val="20"/>
          <w:lang w:val="en-CA" w:eastAsia="fr-CA"/>
          <w14:ligatures w14:val="standardContextual"/>
        </w:rPr>
        <w:t xml:space="preserve"> to support </w:t>
      </w:r>
      <w:r w:rsidRPr="005C485F">
        <w:rPr>
          <w:sz w:val="20"/>
          <w:szCs w:val="20"/>
          <w:lang w:val="en-CA"/>
        </w:rPr>
        <w:t>Asep’s</w:t>
      </w:r>
      <w:r w:rsidRPr="00877348">
        <w:rPr>
          <w:kern w:val="2"/>
          <w:sz w:val="20"/>
          <w:szCs w:val="20"/>
          <w:lang w:val="en-CA" w:eastAsia="fr-CA"/>
          <w14:ligatures w14:val="standardContextual"/>
        </w:rPr>
        <w:t xml:space="preserve"> continued treatment of </w:t>
      </w:r>
      <w:r>
        <w:rPr>
          <w:kern w:val="2"/>
          <w:sz w:val="20"/>
          <w:szCs w:val="20"/>
          <w:lang w:val="en-CA" w:eastAsia="fr-CA"/>
          <w14:ligatures w14:val="standardContextual"/>
        </w:rPr>
        <w:t>ABT and Sepset as equity accounted investments</w:t>
      </w:r>
      <w:r w:rsidR="00B3515E" w:rsidRPr="00B3515E">
        <w:rPr>
          <w:sz w:val="20"/>
          <w:szCs w:val="20"/>
          <w:lang w:val="en-CA"/>
        </w:rPr>
        <w:t xml:space="preserve"> in its financial statements</w:t>
      </w:r>
      <w:r>
        <w:rPr>
          <w:kern w:val="2"/>
          <w:sz w:val="20"/>
          <w:szCs w:val="20"/>
          <w:lang w:val="en-CA" w:eastAsia="fr-CA"/>
          <w14:ligatures w14:val="standardContextual"/>
        </w:rPr>
        <w:t xml:space="preserve">, </w:t>
      </w:r>
      <w:r w:rsidRPr="005C485F">
        <w:rPr>
          <w:sz w:val="20"/>
          <w:szCs w:val="20"/>
          <w:lang w:val="en-CA"/>
        </w:rPr>
        <w:t xml:space="preserve">as well as </w:t>
      </w:r>
      <w:r>
        <w:rPr>
          <w:kern w:val="2"/>
          <w:sz w:val="20"/>
          <w:szCs w:val="20"/>
          <w:lang w:val="en-CA" w:eastAsia="fr-CA"/>
          <w14:ligatures w14:val="standardContextual"/>
        </w:rPr>
        <w:t>drag-along and tag-along</w:t>
      </w:r>
      <w:r w:rsidRPr="005C485F">
        <w:rPr>
          <w:sz w:val="20"/>
          <w:szCs w:val="20"/>
          <w:lang w:val="en-CA"/>
        </w:rPr>
        <w:t xml:space="preserve"> rights.</w:t>
      </w:r>
    </w:p>
    <w:p w14:paraId="7CD95CC7" w14:textId="77777777" w:rsidR="00B7733C" w:rsidRDefault="00326D92" w:rsidP="000741DD">
      <w:pPr>
        <w:spacing w:before="121" w:after="240" w:line="360" w:lineRule="auto"/>
        <w:rPr>
          <w:sz w:val="20"/>
          <w:lang w:val="en-CA"/>
        </w:rPr>
      </w:pPr>
      <w:r>
        <w:rPr>
          <w:sz w:val="20"/>
          <w:lang w:val="en-CA"/>
        </w:rPr>
        <w:t>A</w:t>
      </w:r>
      <w:r w:rsidRPr="00460F8A">
        <w:rPr>
          <w:sz w:val="20"/>
          <w:lang w:val="en-CA"/>
        </w:rPr>
        <w:t xml:space="preserve">s a result of this transaction, the </w:t>
      </w:r>
      <w:r>
        <w:rPr>
          <w:sz w:val="20"/>
          <w:lang w:val="en-CA"/>
        </w:rPr>
        <w:t>Canadian Securities Exchange (the “</w:t>
      </w:r>
      <w:r w:rsidRPr="00460F8A">
        <w:rPr>
          <w:b/>
          <w:bCs/>
          <w:sz w:val="20"/>
          <w:lang w:val="en-CA"/>
        </w:rPr>
        <w:t>CSE</w:t>
      </w:r>
      <w:r>
        <w:rPr>
          <w:sz w:val="20"/>
          <w:lang w:val="en-CA"/>
        </w:rPr>
        <w:t>”)</w:t>
      </w:r>
      <w:r w:rsidRPr="00460F8A">
        <w:rPr>
          <w:sz w:val="20"/>
          <w:lang w:val="en-CA"/>
        </w:rPr>
        <w:t xml:space="preserve"> will reclassify the </w:t>
      </w:r>
      <w:r>
        <w:rPr>
          <w:sz w:val="20"/>
          <w:lang w:val="en-CA"/>
        </w:rPr>
        <w:t>C</w:t>
      </w:r>
      <w:r w:rsidRPr="00460F8A">
        <w:rPr>
          <w:sz w:val="20"/>
          <w:lang w:val="en-CA"/>
        </w:rPr>
        <w:t xml:space="preserve">ompany to an investment company </w:t>
      </w:r>
      <w:r w:rsidR="000B32E8">
        <w:rPr>
          <w:sz w:val="20"/>
          <w:lang w:val="en-CA"/>
        </w:rPr>
        <w:t xml:space="preserve">for </w:t>
      </w:r>
      <w:r w:rsidRPr="00460F8A">
        <w:rPr>
          <w:sz w:val="20"/>
          <w:lang w:val="en-CA"/>
        </w:rPr>
        <w:t>the purpose of CSE policies going forward.</w:t>
      </w:r>
      <w:r w:rsidRPr="00326D92">
        <w:rPr>
          <w:sz w:val="20"/>
        </w:rPr>
        <w:t xml:space="preserve"> The Company</w:t>
      </w:r>
      <w:r>
        <w:rPr>
          <w:sz w:val="20"/>
        </w:rPr>
        <w:t>’s</w:t>
      </w:r>
      <w:r w:rsidRPr="00326D92">
        <w:rPr>
          <w:sz w:val="20"/>
        </w:rPr>
        <w:t xml:space="preserve"> name, stock symbol and CUSIP </w:t>
      </w:r>
      <w:r w:rsidRPr="00326D92">
        <w:rPr>
          <w:sz w:val="20"/>
        </w:rPr>
        <w:lastRenderedPageBreak/>
        <w:t>will remain unchanged.</w:t>
      </w:r>
    </w:p>
    <w:p w14:paraId="444252BE" w14:textId="29109964" w:rsidR="000C4997" w:rsidRPr="000C4997" w:rsidRDefault="00A0745E" w:rsidP="000741DD">
      <w:pPr>
        <w:spacing w:before="121" w:after="240" w:line="360" w:lineRule="auto"/>
        <w:rPr>
          <w:sz w:val="20"/>
          <w:lang w:val="en-CA"/>
        </w:rPr>
      </w:pPr>
      <w:r>
        <w:rPr>
          <w:sz w:val="20"/>
          <w:lang w:val="en-CA"/>
        </w:rPr>
        <w:t>Despite this change, t</w:t>
      </w:r>
      <w:r w:rsidRPr="000C4997">
        <w:rPr>
          <w:sz w:val="20"/>
          <w:lang w:val="en-CA"/>
        </w:rPr>
        <w:t>he Company’s focus would remain unchanged. Asep intends to continue supporting, financing</w:t>
      </w:r>
      <w:r w:rsidR="00326D92">
        <w:rPr>
          <w:sz w:val="20"/>
          <w:lang w:val="en-CA"/>
        </w:rPr>
        <w:t xml:space="preserve"> </w:t>
      </w:r>
      <w:r w:rsidRPr="000C4997">
        <w:rPr>
          <w:sz w:val="20"/>
          <w:lang w:val="en-CA"/>
        </w:rPr>
        <w:t xml:space="preserve">and participating in the development and commercialization of </w:t>
      </w:r>
      <w:r>
        <w:rPr>
          <w:sz w:val="20"/>
          <w:lang w:val="en-CA"/>
        </w:rPr>
        <w:t xml:space="preserve">ABT and Sepset’s </w:t>
      </w:r>
      <w:r w:rsidRPr="000C4997">
        <w:rPr>
          <w:sz w:val="20"/>
          <w:lang w:val="en-CA"/>
        </w:rPr>
        <w:t xml:space="preserve">business and underlying technology. Asep’s business plan would continue to include identifying and pursuing strategic investment, financing and commercialization opportunities intended to enhance the value of the subsidiaries’ technology and operations, including opportunities in India and China (per the current assets and existing licenses of </w:t>
      </w:r>
      <w:r>
        <w:rPr>
          <w:sz w:val="20"/>
          <w:lang w:val="en-CA"/>
        </w:rPr>
        <w:t>ABT and Sepset</w:t>
      </w:r>
      <w:r w:rsidRPr="000C4997">
        <w:rPr>
          <w:sz w:val="20"/>
          <w:lang w:val="en-CA"/>
        </w:rPr>
        <w:t xml:space="preserve">) and support potential expansion </w:t>
      </w:r>
      <w:r w:rsidR="00BD6BD0">
        <w:rPr>
          <w:sz w:val="20"/>
          <w:lang w:val="en-CA"/>
        </w:rPr>
        <w:t>into</w:t>
      </w:r>
      <w:r w:rsidRPr="000C4997">
        <w:rPr>
          <w:sz w:val="20"/>
          <w:lang w:val="en-CA"/>
        </w:rPr>
        <w:t xml:space="preserve"> other jurisdictions.</w:t>
      </w:r>
    </w:p>
    <w:p w14:paraId="3F6D2E9F" w14:textId="77777777" w:rsidR="00B0294D" w:rsidRDefault="00A0745E" w:rsidP="000741DD">
      <w:pPr>
        <w:pStyle w:val="Heading1"/>
      </w:pPr>
      <w:r>
        <w:t>ABOUT</w:t>
      </w:r>
      <w:r>
        <w:rPr>
          <w:spacing w:val="-3"/>
        </w:rPr>
        <w:t xml:space="preserve"> </w:t>
      </w:r>
      <w:r>
        <w:t>ASEP</w:t>
      </w:r>
      <w:r>
        <w:rPr>
          <w:spacing w:val="-5"/>
        </w:rPr>
        <w:t xml:space="preserve"> </w:t>
      </w:r>
      <w:r>
        <w:t>MEDICAL</w:t>
      </w:r>
      <w:r>
        <w:rPr>
          <w:spacing w:val="-3"/>
        </w:rPr>
        <w:t xml:space="preserve"> </w:t>
      </w:r>
      <w:r>
        <w:t>HOLDINGS</w:t>
      </w:r>
      <w:r>
        <w:rPr>
          <w:spacing w:val="-2"/>
        </w:rPr>
        <w:t xml:space="preserve"> </w:t>
      </w:r>
      <w:r>
        <w:rPr>
          <w:spacing w:val="-4"/>
        </w:rPr>
        <w:t>INC.</w:t>
      </w:r>
    </w:p>
    <w:p w14:paraId="5AA25D4E" w14:textId="77777777" w:rsidR="00B0294D" w:rsidRDefault="00A0745E" w:rsidP="000741DD">
      <w:pPr>
        <w:pStyle w:val="BodyText"/>
        <w:spacing w:before="121" w:line="360" w:lineRule="auto"/>
      </w:pPr>
      <w:r>
        <w:t>Asep Medical is a</w:t>
      </w:r>
      <w:r w:rsidR="000C4997">
        <w:t>n investment issuer focused on investing into</w:t>
      </w:r>
      <w:r>
        <w:t xml:space="preserve"> biotechnology research and development </w:t>
      </w:r>
      <w:r w:rsidR="000C4997">
        <w:t>assets and is</w:t>
      </w:r>
      <w:r>
        <w:t xml:space="preserve"> based in Victoria, BC, Canada. The Company possesses a valuable portfolio of global patents for innovative diagnostic and therapeutic medical technologies.</w:t>
      </w:r>
      <w:r>
        <w:rPr>
          <w:spacing w:val="-4"/>
        </w:rPr>
        <w:t xml:space="preserve"> </w:t>
      </w:r>
      <w:r>
        <w:t>These</w:t>
      </w:r>
      <w:r>
        <w:rPr>
          <w:spacing w:val="-3"/>
        </w:rPr>
        <w:t xml:space="preserve"> </w:t>
      </w:r>
      <w:r>
        <w:t>technologies</w:t>
      </w:r>
      <w:r>
        <w:rPr>
          <w:spacing w:val="-2"/>
        </w:rPr>
        <w:t xml:space="preserve"> </w:t>
      </w:r>
      <w:r>
        <w:t>were</w:t>
      </w:r>
      <w:r>
        <w:rPr>
          <w:spacing w:val="-3"/>
        </w:rPr>
        <w:t xml:space="preserve"> </w:t>
      </w:r>
      <w:r>
        <w:t>developed</w:t>
      </w:r>
      <w:r>
        <w:rPr>
          <w:spacing w:val="-4"/>
        </w:rPr>
        <w:t xml:space="preserve"> </w:t>
      </w:r>
      <w:r>
        <w:t>over</w:t>
      </w:r>
      <w:r>
        <w:rPr>
          <w:spacing w:val="-3"/>
        </w:rPr>
        <w:t xml:space="preserve"> </w:t>
      </w:r>
      <w:r>
        <w:t>the</w:t>
      </w:r>
      <w:r>
        <w:rPr>
          <w:spacing w:val="-3"/>
        </w:rPr>
        <w:t xml:space="preserve"> </w:t>
      </w:r>
      <w:r>
        <w:t>past</w:t>
      </w:r>
      <w:r>
        <w:rPr>
          <w:spacing w:val="-5"/>
        </w:rPr>
        <w:t xml:space="preserve"> </w:t>
      </w:r>
      <w:r>
        <w:t>decade</w:t>
      </w:r>
      <w:r>
        <w:rPr>
          <w:spacing w:val="-3"/>
        </w:rPr>
        <w:t xml:space="preserve"> </w:t>
      </w:r>
      <w:r>
        <w:t>at</w:t>
      </w:r>
      <w:r>
        <w:rPr>
          <w:spacing w:val="-6"/>
        </w:rPr>
        <w:t xml:space="preserve"> </w:t>
      </w:r>
      <w:r>
        <w:t>the</w:t>
      </w:r>
      <w:r>
        <w:rPr>
          <w:spacing w:val="-3"/>
        </w:rPr>
        <w:t xml:space="preserve"> </w:t>
      </w:r>
      <w:r>
        <w:t>University of</w:t>
      </w:r>
      <w:r>
        <w:rPr>
          <w:spacing w:val="-5"/>
        </w:rPr>
        <w:t xml:space="preserve"> </w:t>
      </w:r>
      <w:r>
        <w:t>British</w:t>
      </w:r>
      <w:r>
        <w:rPr>
          <w:spacing w:val="-4"/>
        </w:rPr>
        <w:t xml:space="preserve"> </w:t>
      </w:r>
      <w:r>
        <w:t>Columbia</w:t>
      </w:r>
      <w:r>
        <w:rPr>
          <w:spacing w:val="-4"/>
        </w:rPr>
        <w:t xml:space="preserve"> </w:t>
      </w:r>
      <w:r>
        <w:t xml:space="preserve">under the guidance of Dr. Robert E. W. Hancock, one of the world’s foremost microbiologists. Asep holds a </w:t>
      </w:r>
      <w:r w:rsidR="0095291C">
        <w:t>significant</w:t>
      </w:r>
      <w:r>
        <w:t xml:space="preserve"> interest in two private companies — Sepset Biosciences (Asep’s leading product, a sepsis diagnostic technology) and ABT Innovations (specializing in anti-biofilm technology). As the Company’s patented innovations address unmet medical needs, it presents a unique investment opportunity for both retail and institutional </w:t>
      </w:r>
      <w:r>
        <w:rPr>
          <w:spacing w:val="-2"/>
        </w:rPr>
        <w:t>investors.</w:t>
      </w:r>
    </w:p>
    <w:p w14:paraId="21E2677C" w14:textId="77777777" w:rsidR="0095291C" w:rsidRDefault="0095291C" w:rsidP="000741DD">
      <w:pPr>
        <w:rPr>
          <w:i/>
          <w:sz w:val="20"/>
        </w:rPr>
      </w:pPr>
    </w:p>
    <w:p w14:paraId="05A8B3FA" w14:textId="77777777" w:rsidR="00B0294D" w:rsidRDefault="00A0745E" w:rsidP="000741DD">
      <w:pPr>
        <w:rPr>
          <w:i/>
          <w:spacing w:val="-2"/>
          <w:sz w:val="20"/>
        </w:rPr>
      </w:pPr>
      <w:r>
        <w:rPr>
          <w:i/>
          <w:sz w:val="20"/>
        </w:rPr>
        <w:t>The</w:t>
      </w:r>
      <w:r>
        <w:rPr>
          <w:i/>
          <w:spacing w:val="-3"/>
          <w:sz w:val="20"/>
        </w:rPr>
        <w:t xml:space="preserve"> </w:t>
      </w:r>
      <w:r>
        <w:rPr>
          <w:i/>
          <w:sz w:val="20"/>
        </w:rPr>
        <w:t>CSE</w:t>
      </w:r>
      <w:r>
        <w:rPr>
          <w:i/>
          <w:spacing w:val="-5"/>
          <w:sz w:val="20"/>
        </w:rPr>
        <w:t xml:space="preserve"> </w:t>
      </w:r>
      <w:r>
        <w:rPr>
          <w:i/>
          <w:sz w:val="20"/>
        </w:rPr>
        <w:t>has</w:t>
      </w:r>
      <w:r>
        <w:rPr>
          <w:i/>
          <w:spacing w:val="-1"/>
          <w:sz w:val="20"/>
        </w:rPr>
        <w:t xml:space="preserve"> </w:t>
      </w:r>
      <w:r>
        <w:rPr>
          <w:i/>
          <w:sz w:val="20"/>
        </w:rPr>
        <w:t>not</w:t>
      </w:r>
      <w:r>
        <w:rPr>
          <w:i/>
          <w:spacing w:val="-4"/>
          <w:sz w:val="20"/>
        </w:rPr>
        <w:t xml:space="preserve"> </w:t>
      </w:r>
      <w:r>
        <w:rPr>
          <w:i/>
          <w:sz w:val="20"/>
        </w:rPr>
        <w:t>reviewed</w:t>
      </w:r>
      <w:r>
        <w:rPr>
          <w:i/>
          <w:spacing w:val="-1"/>
          <w:sz w:val="20"/>
        </w:rPr>
        <w:t xml:space="preserve"> </w:t>
      </w:r>
      <w:r>
        <w:rPr>
          <w:i/>
          <w:sz w:val="20"/>
        </w:rPr>
        <w:t>and</w:t>
      </w:r>
      <w:r>
        <w:rPr>
          <w:i/>
          <w:spacing w:val="-1"/>
          <w:sz w:val="20"/>
        </w:rPr>
        <w:t xml:space="preserve"> </w:t>
      </w:r>
      <w:r>
        <w:rPr>
          <w:i/>
          <w:sz w:val="20"/>
        </w:rPr>
        <w:t>does</w:t>
      </w:r>
      <w:r>
        <w:rPr>
          <w:i/>
          <w:spacing w:val="-6"/>
          <w:sz w:val="20"/>
        </w:rPr>
        <w:t xml:space="preserve"> </w:t>
      </w:r>
      <w:r>
        <w:rPr>
          <w:i/>
          <w:sz w:val="20"/>
        </w:rPr>
        <w:t>not</w:t>
      </w:r>
      <w:r>
        <w:rPr>
          <w:i/>
          <w:spacing w:val="-4"/>
          <w:sz w:val="20"/>
        </w:rPr>
        <w:t xml:space="preserve"> </w:t>
      </w:r>
      <w:r>
        <w:rPr>
          <w:i/>
          <w:sz w:val="20"/>
        </w:rPr>
        <w:t>accept</w:t>
      </w:r>
      <w:r>
        <w:rPr>
          <w:i/>
          <w:spacing w:val="-4"/>
          <w:sz w:val="20"/>
        </w:rPr>
        <w:t xml:space="preserve"> </w:t>
      </w:r>
      <w:r>
        <w:rPr>
          <w:i/>
          <w:sz w:val="20"/>
        </w:rPr>
        <w:t>responsibility</w:t>
      </w:r>
      <w:r>
        <w:rPr>
          <w:i/>
          <w:spacing w:val="-3"/>
          <w:sz w:val="20"/>
        </w:rPr>
        <w:t xml:space="preserve"> </w:t>
      </w:r>
      <w:r>
        <w:rPr>
          <w:i/>
          <w:sz w:val="20"/>
        </w:rPr>
        <w:t>for</w:t>
      </w:r>
      <w:r>
        <w:rPr>
          <w:i/>
          <w:spacing w:val="-1"/>
          <w:sz w:val="20"/>
        </w:rPr>
        <w:t xml:space="preserve"> </w:t>
      </w:r>
      <w:r>
        <w:rPr>
          <w:i/>
          <w:sz w:val="20"/>
        </w:rPr>
        <w:t>the</w:t>
      </w:r>
      <w:r>
        <w:rPr>
          <w:i/>
          <w:spacing w:val="-3"/>
          <w:sz w:val="20"/>
        </w:rPr>
        <w:t xml:space="preserve"> </w:t>
      </w:r>
      <w:r>
        <w:rPr>
          <w:i/>
          <w:sz w:val="20"/>
        </w:rPr>
        <w:t>accuracy</w:t>
      </w:r>
      <w:r>
        <w:rPr>
          <w:i/>
          <w:spacing w:val="-3"/>
          <w:sz w:val="20"/>
        </w:rPr>
        <w:t xml:space="preserve"> </w:t>
      </w:r>
      <w:r>
        <w:rPr>
          <w:i/>
          <w:sz w:val="20"/>
        </w:rPr>
        <w:t>or</w:t>
      </w:r>
      <w:r>
        <w:rPr>
          <w:i/>
          <w:spacing w:val="-1"/>
          <w:sz w:val="20"/>
        </w:rPr>
        <w:t xml:space="preserve"> </w:t>
      </w:r>
      <w:r>
        <w:rPr>
          <w:i/>
          <w:sz w:val="20"/>
        </w:rPr>
        <w:t>adequacy</w:t>
      </w:r>
      <w:r>
        <w:rPr>
          <w:i/>
          <w:spacing w:val="-7"/>
          <w:sz w:val="20"/>
        </w:rPr>
        <w:t xml:space="preserve"> </w:t>
      </w:r>
      <w:r>
        <w:rPr>
          <w:i/>
          <w:sz w:val="20"/>
        </w:rPr>
        <w:t>of</w:t>
      </w:r>
      <w:r>
        <w:rPr>
          <w:i/>
          <w:spacing w:val="-3"/>
          <w:sz w:val="20"/>
        </w:rPr>
        <w:t xml:space="preserve"> </w:t>
      </w:r>
      <w:r>
        <w:rPr>
          <w:i/>
          <w:sz w:val="20"/>
        </w:rPr>
        <w:t>this</w:t>
      </w:r>
      <w:r>
        <w:rPr>
          <w:i/>
          <w:spacing w:val="-1"/>
          <w:sz w:val="20"/>
        </w:rPr>
        <w:t xml:space="preserve"> </w:t>
      </w:r>
      <w:r>
        <w:rPr>
          <w:i/>
          <w:spacing w:val="-2"/>
          <w:sz w:val="20"/>
        </w:rPr>
        <w:t>release.</w:t>
      </w:r>
    </w:p>
    <w:p w14:paraId="340D2C94" w14:textId="77777777" w:rsidR="00C45678" w:rsidRPr="00C45678" w:rsidRDefault="00C45678" w:rsidP="000741DD">
      <w:pPr>
        <w:rPr>
          <w:i/>
          <w:sz w:val="20"/>
        </w:rPr>
      </w:pPr>
    </w:p>
    <w:p w14:paraId="7873EA6D" w14:textId="77777777" w:rsidR="00B0294D" w:rsidRDefault="00A0745E" w:rsidP="000741DD">
      <w:pPr>
        <w:pStyle w:val="Heading1"/>
      </w:pPr>
      <w:r>
        <w:t>FOR</w:t>
      </w:r>
      <w:r>
        <w:rPr>
          <w:spacing w:val="-2"/>
        </w:rPr>
        <w:t xml:space="preserve"> </w:t>
      </w:r>
      <w:r>
        <w:t>MORE INFORMATION,</w:t>
      </w:r>
      <w:r>
        <w:rPr>
          <w:spacing w:val="-5"/>
        </w:rPr>
        <w:t xml:space="preserve"> </w:t>
      </w:r>
      <w:r>
        <w:t>PLEASE CONTACT</w:t>
      </w:r>
    </w:p>
    <w:p w14:paraId="11F54E70" w14:textId="77777777" w:rsidR="00B0294D" w:rsidRDefault="00A0745E" w:rsidP="000741DD">
      <w:pPr>
        <w:pStyle w:val="BodyText"/>
        <w:spacing w:before="121" w:line="364" w:lineRule="auto"/>
        <w:ind w:right="6448"/>
      </w:pPr>
      <w:r>
        <w:t>Chris</w:t>
      </w:r>
      <w:r>
        <w:rPr>
          <w:spacing w:val="-12"/>
        </w:rPr>
        <w:t xml:space="preserve"> </w:t>
      </w:r>
      <w:r>
        <w:t>Dallin,</w:t>
      </w:r>
      <w:r>
        <w:rPr>
          <w:spacing w:val="-11"/>
        </w:rPr>
        <w:t xml:space="preserve"> </w:t>
      </w:r>
      <w:r>
        <w:t>Marketing</w:t>
      </w:r>
      <w:r>
        <w:rPr>
          <w:spacing w:val="-11"/>
        </w:rPr>
        <w:t xml:space="preserve"> </w:t>
      </w:r>
      <w:r>
        <w:t>Director ASEP Medical Holdings Inc.</w:t>
      </w:r>
    </w:p>
    <w:p w14:paraId="0ACED577" w14:textId="77777777" w:rsidR="00B0294D" w:rsidRDefault="00A0745E" w:rsidP="000741DD">
      <w:pPr>
        <w:pStyle w:val="BodyText"/>
        <w:spacing w:line="238" w:lineRule="exact"/>
      </w:pPr>
      <w:r>
        <w:t>E.</w:t>
      </w:r>
      <w:r>
        <w:rPr>
          <w:spacing w:val="1"/>
        </w:rPr>
        <w:t xml:space="preserve"> </w:t>
      </w:r>
      <w:hyperlink r:id="rId7">
        <w:r w:rsidR="00B0294D">
          <w:rPr>
            <w:color w:val="0462C1"/>
            <w:spacing w:val="-2"/>
            <w:u w:val="single" w:color="0462C1"/>
          </w:rPr>
          <w:t>chris@asepmedical.com</w:t>
        </w:r>
      </w:hyperlink>
    </w:p>
    <w:p w14:paraId="3BDFE13D" w14:textId="77777777" w:rsidR="00B0294D" w:rsidRDefault="00A0745E" w:rsidP="000741DD">
      <w:pPr>
        <w:pStyle w:val="BodyText"/>
        <w:spacing w:before="120"/>
      </w:pPr>
      <w:r>
        <w:t>T.</w:t>
      </w:r>
      <w:r>
        <w:rPr>
          <w:spacing w:val="-6"/>
        </w:rPr>
        <w:t xml:space="preserve"> </w:t>
      </w:r>
      <w:r>
        <w:t>+1</w:t>
      </w:r>
      <w:r>
        <w:rPr>
          <w:spacing w:val="-4"/>
        </w:rPr>
        <w:t xml:space="preserve"> </w:t>
      </w:r>
      <w:r>
        <w:t>(604)</w:t>
      </w:r>
      <w:r>
        <w:rPr>
          <w:spacing w:val="-3"/>
        </w:rPr>
        <w:t xml:space="preserve"> </w:t>
      </w:r>
      <w:r>
        <w:t>362-</w:t>
      </w:r>
      <w:r>
        <w:rPr>
          <w:spacing w:val="-4"/>
        </w:rPr>
        <w:t>3654</w:t>
      </w:r>
    </w:p>
    <w:p w14:paraId="16D0C50B" w14:textId="77777777" w:rsidR="00B0294D" w:rsidRDefault="00B0294D" w:rsidP="000741DD">
      <w:pPr>
        <w:pStyle w:val="BodyText"/>
      </w:pPr>
    </w:p>
    <w:p w14:paraId="6223EF57" w14:textId="77777777" w:rsidR="00B0294D" w:rsidRDefault="00B0294D" w:rsidP="000741DD">
      <w:pPr>
        <w:pStyle w:val="BodyText"/>
        <w:spacing w:before="73"/>
      </w:pPr>
    </w:p>
    <w:p w14:paraId="17A1CD3A" w14:textId="77777777" w:rsidR="00B0294D" w:rsidRDefault="00A0745E" w:rsidP="000741DD">
      <w:pPr>
        <w:pStyle w:val="Heading1"/>
      </w:pPr>
      <w:r>
        <w:t>FORWARD-LOOKING</w:t>
      </w:r>
      <w:r>
        <w:rPr>
          <w:spacing w:val="-4"/>
        </w:rPr>
        <w:t xml:space="preserve"> </w:t>
      </w:r>
      <w:r>
        <w:rPr>
          <w:spacing w:val="-2"/>
        </w:rPr>
        <w:t>STATEMENTS</w:t>
      </w:r>
    </w:p>
    <w:p w14:paraId="354ADDC6" w14:textId="77777777" w:rsidR="00B0294D" w:rsidRDefault="00A0745E" w:rsidP="000741DD">
      <w:pPr>
        <w:pStyle w:val="BodyText"/>
        <w:spacing w:before="121" w:line="360" w:lineRule="auto"/>
      </w:pPr>
      <w:r>
        <w:t>This news release contains certain “forward-looking statements” within the meaning of such statements under applicable</w:t>
      </w:r>
      <w:r>
        <w:rPr>
          <w:spacing w:val="-4"/>
        </w:rPr>
        <w:t xml:space="preserve"> </w:t>
      </w:r>
      <w:r>
        <w:t>securities</w:t>
      </w:r>
      <w:r>
        <w:rPr>
          <w:spacing w:val="-3"/>
        </w:rPr>
        <w:t xml:space="preserve"> </w:t>
      </w:r>
      <w:r>
        <w:t>law.</w:t>
      </w:r>
      <w:r>
        <w:rPr>
          <w:spacing w:val="-5"/>
        </w:rPr>
        <w:t xml:space="preserve"> </w:t>
      </w:r>
      <w:r>
        <w:t>Forward-looking</w:t>
      </w:r>
      <w:r>
        <w:rPr>
          <w:spacing w:val="-4"/>
        </w:rPr>
        <w:t xml:space="preserve"> </w:t>
      </w:r>
      <w:r>
        <w:t>statements</w:t>
      </w:r>
      <w:r>
        <w:rPr>
          <w:spacing w:val="-3"/>
        </w:rPr>
        <w:t xml:space="preserve"> </w:t>
      </w:r>
      <w:r>
        <w:t>are</w:t>
      </w:r>
      <w:r>
        <w:rPr>
          <w:spacing w:val="-4"/>
        </w:rPr>
        <w:t xml:space="preserve"> </w:t>
      </w:r>
      <w:r>
        <w:t>frequently</w:t>
      </w:r>
      <w:r>
        <w:rPr>
          <w:spacing w:val="-5"/>
        </w:rPr>
        <w:t xml:space="preserve"> </w:t>
      </w:r>
      <w:r>
        <w:t>characterized</w:t>
      </w:r>
      <w:r>
        <w:rPr>
          <w:spacing w:val="-5"/>
        </w:rPr>
        <w:t xml:space="preserve"> </w:t>
      </w:r>
      <w:r>
        <w:t>by</w:t>
      </w:r>
      <w:r>
        <w:rPr>
          <w:spacing w:val="-5"/>
        </w:rPr>
        <w:t xml:space="preserve"> </w:t>
      </w:r>
      <w:r>
        <w:t>words</w:t>
      </w:r>
      <w:r>
        <w:rPr>
          <w:spacing w:val="-3"/>
        </w:rPr>
        <w:t xml:space="preserve"> </w:t>
      </w:r>
      <w:r>
        <w:t>such</w:t>
      </w:r>
      <w:r>
        <w:rPr>
          <w:spacing w:val="-5"/>
        </w:rPr>
        <w:t xml:space="preserve"> </w:t>
      </w:r>
      <w:r>
        <w:t>as</w:t>
      </w:r>
      <w:r>
        <w:rPr>
          <w:spacing w:val="-3"/>
        </w:rPr>
        <w:t xml:space="preserve"> </w:t>
      </w:r>
      <w:r>
        <w:t>“anticipates,” “plans,” “continues,” “expects,” “projects,” “intends,” “believes,” “estimates,” “may,” “will,” “potential,” “proposed,” “positioned” and</w:t>
      </w:r>
      <w:r>
        <w:rPr>
          <w:spacing w:val="-1"/>
        </w:rPr>
        <w:t xml:space="preserve"> </w:t>
      </w:r>
      <w:r>
        <w:t>other similar words, or statements that</w:t>
      </w:r>
      <w:r>
        <w:rPr>
          <w:spacing w:val="-2"/>
        </w:rPr>
        <w:t xml:space="preserve"> </w:t>
      </w:r>
      <w:r>
        <w:t>certain</w:t>
      </w:r>
      <w:r>
        <w:rPr>
          <w:spacing w:val="-1"/>
        </w:rPr>
        <w:t xml:space="preserve"> </w:t>
      </w:r>
      <w:r>
        <w:t xml:space="preserve">events or conditions “may” or “will” occur. These statements include, but are not limited to, </w:t>
      </w:r>
      <w:r w:rsidR="009221D7" w:rsidRPr="009221D7">
        <w:t xml:space="preserve">statements with respect to the </w:t>
      </w:r>
      <w:r w:rsidR="001F32CD">
        <w:t xml:space="preserve">expected retention by Asep of a 45% voting interest and 5% preferred share interest into Sepset and ABT; the expectation that no securities of </w:t>
      </w:r>
      <w:r w:rsidR="001F32CD">
        <w:lastRenderedPageBreak/>
        <w:t xml:space="preserve">Asep will be issued in connection with the Transaction; </w:t>
      </w:r>
      <w:r w:rsidR="009221D7" w:rsidRPr="009221D7">
        <w:t xml:space="preserve">the receipt of regulatory approval for the </w:t>
      </w:r>
      <w:r w:rsidR="001F32CD">
        <w:t xml:space="preserve">Transaction; </w:t>
      </w:r>
      <w:r w:rsidR="001F32CD" w:rsidRPr="001F32CD">
        <w:t xml:space="preserve">the anticipated absence of shareholder approval; the expected strategic relationship among </w:t>
      </w:r>
      <w:r w:rsidR="001F32CD">
        <w:t>Asep</w:t>
      </w:r>
      <w:r w:rsidR="001F32CD" w:rsidRPr="001F32CD">
        <w:t xml:space="preserve">, </w:t>
      </w:r>
      <w:r w:rsidR="001F32CD">
        <w:t>ABT</w:t>
      </w:r>
      <w:r w:rsidR="001F32CD" w:rsidRPr="001F32CD">
        <w:t xml:space="preserve"> and </w:t>
      </w:r>
      <w:r w:rsidR="001F32CD">
        <w:t>Sepset</w:t>
      </w:r>
      <w:r w:rsidR="001F32CD" w:rsidRPr="001F32CD">
        <w:t>; the parties' ability to collaborate and obtain access to customers, technology, data, networks and commercial opportunities</w:t>
      </w:r>
      <w:r w:rsidR="001F32CD">
        <w:t xml:space="preserve">; </w:t>
      </w:r>
      <w:r w:rsidR="001F32CD" w:rsidRPr="00197035">
        <w:t>the strategic direction and business plans of Asep, ABT and Sepset</w:t>
      </w:r>
      <w:r w:rsidR="00197035" w:rsidRPr="00197035">
        <w:t>; the finalization and performance of the agreements; the parties will be able to identify and implement commercially viable collaboration opportunities; Asep will maintain access to vendors, infrastructure and customers; Asep will continue to operate independently; and general economic, capital-market, technology and regulatory conditions will not change materially</w:t>
      </w:r>
      <w:r w:rsidRPr="00197035">
        <w:t>. Various</w:t>
      </w:r>
      <w:r>
        <w:t xml:space="preserve"> assumptions were used in drawing conclusions or making the predictions contained in the forward-looking statements throughout this news release. Forward-looking statements are based on the opinions and estimates of management </w:t>
      </w:r>
      <w:r w:rsidR="00DD06A9">
        <w:t>on</w:t>
      </w:r>
      <w:r>
        <w:t xml:space="preserve"> the date the statements are made and are subject to a variety of risks, including </w:t>
      </w:r>
      <w:r w:rsidR="002A1BA5" w:rsidRPr="002A1BA5">
        <w:t xml:space="preserve">risks associated with the business of the </w:t>
      </w:r>
      <w:r w:rsidR="002A1BA5" w:rsidRPr="00197035">
        <w:t>Company</w:t>
      </w:r>
      <w:r w:rsidR="00197035">
        <w:t xml:space="preserve"> and the Company’s ability to generate revenue in the future.</w:t>
      </w:r>
      <w:r w:rsidR="002A1BA5">
        <w:t xml:space="preserve"> </w:t>
      </w:r>
      <w:r>
        <w:t>Additional</w:t>
      </w:r>
      <w:r>
        <w:rPr>
          <w:spacing w:val="-4"/>
        </w:rPr>
        <w:t xml:space="preserve"> </w:t>
      </w:r>
      <w:r>
        <w:t>risk</w:t>
      </w:r>
      <w:r>
        <w:rPr>
          <w:spacing w:val="-4"/>
        </w:rPr>
        <w:t xml:space="preserve"> </w:t>
      </w:r>
      <w:r>
        <w:t>actors are identified in the Asep Medical Holdings Inc. prospectus dated November 9, 2021, and in the Company’s management</w:t>
      </w:r>
      <w:r>
        <w:rPr>
          <w:spacing w:val="-2"/>
        </w:rPr>
        <w:t xml:space="preserve"> </w:t>
      </w:r>
      <w:r>
        <w:t>discussion</w:t>
      </w:r>
      <w:r>
        <w:rPr>
          <w:spacing w:val="-1"/>
        </w:rPr>
        <w:t xml:space="preserve"> </w:t>
      </w:r>
      <w:r>
        <w:t>and</w:t>
      </w:r>
      <w:r>
        <w:rPr>
          <w:spacing w:val="-1"/>
        </w:rPr>
        <w:t xml:space="preserve"> </w:t>
      </w:r>
      <w:r>
        <w:t>analysis, available for review under the Company’s profile at</w:t>
      </w:r>
      <w:r>
        <w:rPr>
          <w:spacing w:val="-2"/>
        </w:rPr>
        <w:t xml:space="preserve"> </w:t>
      </w:r>
      <w:hyperlink r:id="rId8">
        <w:r w:rsidR="00B0294D">
          <w:t>www.sedarplus.ca.</w:t>
        </w:r>
      </w:hyperlink>
      <w:r>
        <w:rPr>
          <w:spacing w:val="-1"/>
        </w:rPr>
        <w:t xml:space="preserve"> </w:t>
      </w:r>
      <w:r>
        <w:t>Asep Medical Holdings Inc. undertakes no obligation to update or revise any forward-looking statements, except as required by applicable law.</w:t>
      </w:r>
    </w:p>
    <w:p w14:paraId="142AB525" w14:textId="77777777" w:rsidR="00D14E7B" w:rsidRDefault="00A0745E" w:rsidP="000741DD">
      <w:pPr>
        <w:pStyle w:val="BodyText"/>
        <w:spacing w:before="121" w:line="360" w:lineRule="auto"/>
      </w:pPr>
      <w:r w:rsidRPr="00D14E7B">
        <w:t>NOT FOR DISSEMINATION IN THE UNITED STATES OR FOR DISTRIBUTION TO U.S. WIRE SERVICES</w:t>
      </w:r>
    </w:p>
    <w:sectPr w:rsidR="00D14E7B" w:rsidSect="000741DD">
      <w:headerReference w:type="default" r:id="rId9"/>
      <w:footerReference w:type="default" r:id="rId10"/>
      <w:pgSz w:w="12240" w:h="15840"/>
      <w:pgMar w:top="2744" w:right="1440" w:bottom="1160" w:left="1440" w:header="1036" w:footer="9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253EBE" w14:textId="77777777" w:rsidR="006A6401" w:rsidRDefault="006A6401">
      <w:r>
        <w:separator/>
      </w:r>
    </w:p>
  </w:endnote>
  <w:endnote w:type="continuationSeparator" w:id="0">
    <w:p w14:paraId="26F68F46" w14:textId="77777777" w:rsidR="006A6401" w:rsidRDefault="006A6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1D3951" w14:textId="77777777" w:rsidR="00B0294D" w:rsidRDefault="00A0745E">
    <w:pPr>
      <w:pStyle w:val="BodyText"/>
      <w:spacing w:line="14" w:lineRule="auto"/>
    </w:pPr>
    <w:r>
      <w:rPr>
        <w:noProof/>
      </w:rPr>
      <mc:AlternateContent>
        <mc:Choice Requires="wps">
          <w:drawing>
            <wp:anchor distT="0" distB="0" distL="0" distR="0" simplePos="0" relativeHeight="251657728" behindDoc="1" locked="0" layoutInCell="1" allowOverlap="1" wp14:anchorId="1D77770C" wp14:editId="0B1EB61E">
              <wp:simplePos x="0" y="0"/>
              <wp:positionH relativeFrom="page">
                <wp:posOffset>6771893</wp:posOffset>
              </wp:positionH>
              <wp:positionV relativeFrom="page">
                <wp:posOffset>9308782</wp:posOffset>
              </wp:positionV>
              <wp:extent cx="140970" cy="127000"/>
              <wp:effectExtent l="0" t="0" r="0" b="0"/>
              <wp:wrapNone/>
              <wp:docPr id="3" name="Textbox 3"/>
              <wp:cNvGraphicFramePr/>
              <a:graphic xmlns:a="http://schemas.openxmlformats.org/drawingml/2006/main">
                <a:graphicData uri="http://schemas.microsoft.com/office/word/2010/wordprocessingShape">
                  <wps:wsp>
                    <wps:cNvSpPr txBox="1"/>
                    <wps:spPr>
                      <a:xfrm>
                        <a:off x="0" y="0"/>
                        <a:ext cx="140970" cy="127000"/>
                      </a:xfrm>
                      <a:prstGeom prst="rect">
                        <a:avLst/>
                      </a:prstGeom>
                    </wps:spPr>
                    <wps:txbx>
                      <w:txbxContent>
                        <w:p w14:paraId="46585501" w14:textId="77777777" w:rsidR="00B0294D" w:rsidRDefault="00A0745E">
                          <w:pPr>
                            <w:spacing w:line="183" w:lineRule="exact"/>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wps:wsp>
                </a:graphicData>
              </a:graphic>
            </wp:anchor>
          </w:drawing>
        </mc:Choice>
        <mc:Fallback>
          <w:pict>
            <v:shapetype w14:anchorId="1D77770C" id="_x0000_t202" coordsize="21600,21600" o:spt="202" path="m,l,21600r21600,l21600,xe">
              <v:stroke joinstyle="miter"/>
              <v:path gradientshapeok="t" o:connecttype="rect"/>
            </v:shapetype>
            <v:shape id="Textbox 3" o:spid="_x0000_s1027" type="#_x0000_t202" style="position:absolute;margin-left:533.2pt;margin-top:732.95pt;width:11.1pt;height:10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ZQNjeQEAAO4CAAAOAAAAZHJzL2Uyb0RvYy54bWysUttOwzAMfUfiH6K8s3YT4lKtQwIEQkKA&#13;&#10;BHxAliZrpSYOdli7v8cJbEPwhnhx7Dg5Pj72/GJ0vVgbpA58LaeTUgrjNTSdX9Xy9eXm6EwKiso3&#13;&#10;qgdvarkxJC8WhwfzIVRmBi30jUHBIJ6qIdSyjTFURUG6NU7RBILxnLSATkUOcVU0qAZGd30xK8uT&#13;&#10;YgBsAoI2RHx7/ZmUi4xvrdHx0VoyUfS1ZG4xW8x2mWyxmKtqhSq0nf6iof7AwqnOc9Ed1LWKSrxj&#13;&#10;9wvKdRqBwMaJBleAtZ02uQfuZlr+6Oa5VcHkXlgcCjuZ6P9g9cP6OTyhiOMljDzAJMgQqCK+TP2M&#13;&#10;Fl06mangPEu42clmxih0+nRcnp9yRnNqOjstyyxrsf8ckOKtASeSU0vkqWSx1PqeIhfkp9snHOzL&#13;&#10;Jy+Oy1F0zTdqS2g2zHjgodWS3t4VGin6O8+qpAlvHdw6y62Dsb+CvAepZgJnUXP1rwVIU/se51f7&#13;&#10;NV18AAAA//8DAFBLAwQUAAYACAAAACEA63e/ROQAAAAUAQAADwAAAGRycy9kb3ducmV2LnhtbExP&#13;&#10;TU/DMAy9I/EfIk/ixpKhEXVd02ni44SE6MqBY9pkbbXGKU22lX+Pe4KL5ff8/Pyc7SbXs4sdQ+dR&#13;&#10;wWopgFmsvemwUfBZvt4nwELUaHTv0Sr4sQF2+e1NplPjr1jYyyE2jEwwpFpBG+OQch7q1jodln6w&#13;&#10;SLOjH52OBMeGm1Ffydz1/EEIyZ3ukC60erBPra1Ph7NTsP/C4qX7fq8+imPRleVG4Js8KXW3mJ63&#13;&#10;VPZbYNFO8W8D5h8oP+QUrPJnNIH1hIWUa9JSt5aPG2CzRiSJBFbNXEIczzP+/5n8FwAA//8DAFBL&#13;&#10;AQItABQABgAIAAAAIQC2gziS/gAAAOEBAAATAAAAAAAAAAAAAAAAAAAAAABbQ29udGVudF9UeXBl&#13;&#10;c10ueG1sUEsBAi0AFAAGAAgAAAAhADj9If/WAAAAlAEAAAsAAAAAAAAAAAAAAAAALwEAAF9yZWxz&#13;&#10;Ly5yZWxzUEsBAi0AFAAGAAgAAAAhAEZlA2N5AQAA7gIAAA4AAAAAAAAAAAAAAAAALgIAAGRycy9l&#13;&#10;Mm9Eb2MueG1sUEsBAi0AFAAGAAgAAAAhAOt3v0TkAAAAFAEAAA8AAAAAAAAAAAAAAAAA0wMAAGRy&#13;&#10;cy9kb3ducmV2LnhtbFBLBQYAAAAABAAEAPMAAADkBAAAAAA=&#13;&#10;" filled="f" stroked="f">
              <v:textbox inset="0,0,0,0">
                <w:txbxContent>
                  <w:p w14:paraId="46585501" w14:textId="77777777" w:rsidR="00B0294D" w:rsidRDefault="00A0745E">
                    <w:pPr>
                      <w:spacing w:line="183" w:lineRule="exact"/>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5627BC" w14:textId="77777777" w:rsidR="006A6401" w:rsidRDefault="006A6401">
      <w:r>
        <w:separator/>
      </w:r>
    </w:p>
  </w:footnote>
  <w:footnote w:type="continuationSeparator" w:id="0">
    <w:p w14:paraId="35B7641D" w14:textId="77777777" w:rsidR="006A6401" w:rsidRDefault="006A64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3C7385" w14:textId="77777777" w:rsidR="00B0294D" w:rsidRDefault="00A0745E">
    <w:pPr>
      <w:pStyle w:val="BodyText"/>
      <w:spacing w:line="14" w:lineRule="auto"/>
    </w:pPr>
    <w:r>
      <w:rPr>
        <w:noProof/>
      </w:rPr>
      <w:drawing>
        <wp:anchor distT="0" distB="0" distL="0" distR="0" simplePos="0" relativeHeight="251656704" behindDoc="1" locked="0" layoutInCell="1" allowOverlap="1" wp14:anchorId="769A6A41" wp14:editId="1CEB2C09">
          <wp:simplePos x="0" y="0"/>
          <wp:positionH relativeFrom="page">
            <wp:posOffset>3166885</wp:posOffset>
          </wp:positionH>
          <wp:positionV relativeFrom="page">
            <wp:posOffset>657630</wp:posOffset>
          </wp:positionV>
          <wp:extent cx="1213332" cy="664683"/>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213332" cy="664683"/>
                  </a:xfrm>
                  <a:prstGeom prst="rect">
                    <a:avLst/>
                  </a:prstGeom>
                </pic:spPr>
              </pic:pic>
            </a:graphicData>
          </a:graphic>
        </wp:anchor>
      </w:drawing>
    </w:r>
    <w:r>
      <w:rPr>
        <w:noProof/>
      </w:rPr>
      <mc:AlternateContent>
        <mc:Choice Requires="wps">
          <w:drawing>
            <wp:anchor distT="0" distB="0" distL="0" distR="0" simplePos="0" relativeHeight="251658752" behindDoc="1" locked="0" layoutInCell="1" allowOverlap="1" wp14:anchorId="050528D2" wp14:editId="31FBA1B5">
              <wp:simplePos x="0" y="0"/>
              <wp:positionH relativeFrom="page">
                <wp:posOffset>3141345</wp:posOffset>
              </wp:positionH>
              <wp:positionV relativeFrom="page">
                <wp:posOffset>1397635</wp:posOffset>
              </wp:positionV>
              <wp:extent cx="1490345" cy="156845"/>
              <wp:effectExtent l="0" t="0" r="0" b="0"/>
              <wp:wrapNone/>
              <wp:docPr id="2" name="Textbox 2"/>
              <wp:cNvGraphicFramePr/>
              <a:graphic xmlns:a="http://schemas.openxmlformats.org/drawingml/2006/main">
                <a:graphicData uri="http://schemas.microsoft.com/office/word/2010/wordprocessingShape">
                  <wps:wsp>
                    <wps:cNvSpPr txBox="1"/>
                    <wps:spPr>
                      <a:xfrm>
                        <a:off x="0" y="0"/>
                        <a:ext cx="1490345" cy="156845"/>
                      </a:xfrm>
                      <a:prstGeom prst="rect">
                        <a:avLst/>
                      </a:prstGeom>
                    </wps:spPr>
                    <wps:txbx>
                      <w:txbxContent>
                        <w:p w14:paraId="343D5D90" w14:textId="77777777" w:rsidR="00B0294D" w:rsidRDefault="00A0745E">
                          <w:pPr>
                            <w:pStyle w:val="BodyText"/>
                            <w:spacing w:line="232" w:lineRule="exact"/>
                            <w:ind w:left="20"/>
                          </w:pPr>
                          <w:r>
                            <w:rPr>
                              <w:rFonts w:ascii="Sylfaen"/>
                              <w:color w:val="585858"/>
                            </w:rPr>
                            <w:t>Asep</w:t>
                          </w:r>
                          <w:r>
                            <w:rPr>
                              <w:rFonts w:ascii="Sylfaen"/>
                              <w:color w:val="585858"/>
                              <w:spacing w:val="-3"/>
                            </w:rPr>
                            <w:t xml:space="preserve"> </w:t>
                          </w:r>
                          <w:r>
                            <w:rPr>
                              <w:rFonts w:ascii="Sylfaen"/>
                              <w:color w:val="585858"/>
                            </w:rPr>
                            <w:t>Medical</w:t>
                          </w:r>
                          <w:r>
                            <w:rPr>
                              <w:rFonts w:ascii="Sylfaen"/>
                              <w:color w:val="585858"/>
                              <w:spacing w:val="-5"/>
                            </w:rPr>
                            <w:t xml:space="preserve"> </w:t>
                          </w:r>
                          <w:r>
                            <w:rPr>
                              <w:rFonts w:ascii="Sylfaen"/>
                              <w:color w:val="585858"/>
                            </w:rPr>
                            <w:t>Holdings</w:t>
                          </w:r>
                          <w:r>
                            <w:rPr>
                              <w:rFonts w:ascii="Sylfaen"/>
                              <w:color w:val="585858"/>
                              <w:spacing w:val="-4"/>
                            </w:rPr>
                            <w:t xml:space="preserve"> Inc</w:t>
                          </w:r>
                          <w:r>
                            <w:rPr>
                              <w:color w:val="585858"/>
                              <w:spacing w:val="-4"/>
                            </w:rPr>
                            <w:t>.</w:t>
                          </w:r>
                        </w:p>
                      </w:txbxContent>
                    </wps:txbx>
                    <wps:bodyPr wrap="square" lIns="0" tIns="0" rIns="0" bIns="0" rtlCol="0"/>
                  </wps:wsp>
                </a:graphicData>
              </a:graphic>
            </wp:anchor>
          </w:drawing>
        </mc:Choice>
        <mc:Fallback>
          <w:pict>
            <v:shapetype w14:anchorId="050528D2" id="_x0000_t202" coordsize="21600,21600" o:spt="202" path="m,l,21600r21600,l21600,xe">
              <v:stroke joinstyle="miter"/>
              <v:path gradientshapeok="t" o:connecttype="rect"/>
            </v:shapetype>
            <v:shape id="Textbox 2" o:spid="_x0000_s1026" type="#_x0000_t202" style="position:absolute;margin-left:247.35pt;margin-top:110.05pt;width:117.35pt;height:12.3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odd3ewEAAOgCAAAOAAAAZHJzL2Uyb0RvYy54bWysUttu2zAMfR/QfxD03tjJ0qAz4gTogg4D&#13;&#10;hm1A2w9QZCk2YIkqqcbO349SbsP2VvSFokTy8PBQy/XoerE3SB34Wk4npRTGa2g6v6vly/Pj7b0U&#13;&#10;FJVvVA/e1PJgSK5XN5+WQ6jMDFroG4OCQTxVQ6hlG2OoioJ0a5yiCQTjOWgBnYp8xV3RoBoY3fXF&#13;&#10;rCwXxQDYBARtiPh1cwzKVca31uj4y1oyUfS1ZG4xW8x2m2yxWqpqhyq0nT7RUO9g4VTnuekFaqOi&#13;&#10;Em/Y/QflOo1AYONEgyvA2k6bPANPMy3/meapVcHkWVgcCheZ6ONg9c/9U/iNIo4PMPICkyBDoIr4&#13;&#10;Mc0zWnTpZKaC4yzh4SKbGaPQqWj+pfw8v5NCc2x6t7hnn2GKa3VAit8MOJGcWiKvJaul9j8oHlPP&#13;&#10;KVx37Z+8OG7HE6ktNAfmOvC6akmvbwqNFP13z3qk3Z4dPDvbs4Ox/wr5B6RmCZXlzAxPq0/7+vue&#13;&#10;s64fdPUHAAD//wMAUEsDBBQABgAIAAAAIQATH62E5AAAABABAAAPAAAAZHJzL2Rvd25yZXYueG1s&#13;&#10;TE/LTsMwELwj8Q/WInGjdqOobdI4VcXjhIRIw4GjE7uJ1XgdYrcNf89ygstKuzM7j2I3u4FdzBSs&#13;&#10;RwnLhQBmsPXaYifho3552AALUaFWg0cj4dsE2JW3N4XKtb9iZS6H2DESwZArCX2MY855aHvjVFj4&#13;&#10;0SBhRz85FWmdOq4ndSVxN/BEiBV3yiI59Go0j71pT4ezk7D/xOrZfr0179WxsnWdCXxdnaS8v5uf&#13;&#10;tjT2W2DRzPHvA347UH4oKVjjz6gDGySkWbomqoQkEUtgxFgnWQqsoUuaboCXBf9fpPwBAAD//wMA&#13;&#10;UEsBAi0AFAAGAAgAAAAhALaDOJL+AAAA4QEAABMAAAAAAAAAAAAAAAAAAAAAAFtDb250ZW50X1R5&#13;&#10;cGVzXS54bWxQSwECLQAUAAYACAAAACEAOP0h/9YAAACUAQAACwAAAAAAAAAAAAAAAAAvAQAAX3Jl&#13;&#10;bHMvLnJlbHNQSwECLQAUAAYACAAAACEAnKHXd3sBAADoAgAADgAAAAAAAAAAAAAAAAAuAgAAZHJz&#13;&#10;L2Uyb0RvYy54bWxQSwECLQAUAAYACAAAACEAEx+thOQAAAAQAQAADwAAAAAAAAAAAAAAAADVAwAA&#13;&#10;ZHJzL2Rvd25yZXYueG1sUEsFBgAAAAAEAAQA8wAAAOYEAAAAAA==&#13;&#10;" filled="f" stroked="f">
              <v:textbox inset="0,0,0,0">
                <w:txbxContent>
                  <w:p w14:paraId="343D5D90" w14:textId="77777777" w:rsidR="00B0294D" w:rsidRDefault="00A0745E">
                    <w:pPr>
                      <w:pStyle w:val="BodyText"/>
                      <w:spacing w:line="232" w:lineRule="exact"/>
                      <w:ind w:left="20"/>
                    </w:pPr>
                    <w:r>
                      <w:rPr>
                        <w:rFonts w:ascii="Sylfaen"/>
                        <w:color w:val="585858"/>
                      </w:rPr>
                      <w:t>Asep</w:t>
                    </w:r>
                    <w:r>
                      <w:rPr>
                        <w:rFonts w:ascii="Sylfaen"/>
                        <w:color w:val="585858"/>
                        <w:spacing w:val="-3"/>
                      </w:rPr>
                      <w:t xml:space="preserve"> </w:t>
                    </w:r>
                    <w:r>
                      <w:rPr>
                        <w:rFonts w:ascii="Sylfaen"/>
                        <w:color w:val="585858"/>
                      </w:rPr>
                      <w:t>Medical</w:t>
                    </w:r>
                    <w:r>
                      <w:rPr>
                        <w:rFonts w:ascii="Sylfaen"/>
                        <w:color w:val="585858"/>
                        <w:spacing w:val="-5"/>
                      </w:rPr>
                      <w:t xml:space="preserve"> </w:t>
                    </w:r>
                    <w:r>
                      <w:rPr>
                        <w:rFonts w:ascii="Sylfaen"/>
                        <w:color w:val="585858"/>
                      </w:rPr>
                      <w:t>Holdings</w:t>
                    </w:r>
                    <w:r>
                      <w:rPr>
                        <w:rFonts w:ascii="Sylfaen"/>
                        <w:color w:val="585858"/>
                        <w:spacing w:val="-4"/>
                      </w:rPr>
                      <w:t xml:space="preserve"> Inc</w:t>
                    </w:r>
                    <w:r>
                      <w:rPr>
                        <w:color w:val="585858"/>
                        <w:spacing w:val="-4"/>
                      </w:rPr>
                      <w:t>.</w:t>
                    </w:r>
                  </w:p>
                </w:txbxContent>
              </v:textbox>
              <w10:wrap anchorx="page" anchory="page"/>
            </v:shape>
          </w:pict>
        </mc:Fallback>
      </mc:AlternateConten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94D"/>
    <w:rsid w:val="00001199"/>
    <w:rsid w:val="00012DF1"/>
    <w:rsid w:val="0005296C"/>
    <w:rsid w:val="000741DD"/>
    <w:rsid w:val="000A1B04"/>
    <w:rsid w:val="000B32E8"/>
    <w:rsid w:val="000C4997"/>
    <w:rsid w:val="000C5B69"/>
    <w:rsid w:val="000D43AF"/>
    <w:rsid w:val="00133C5E"/>
    <w:rsid w:val="00170ADB"/>
    <w:rsid w:val="00197035"/>
    <w:rsid w:val="001C2611"/>
    <w:rsid w:val="001D6CA6"/>
    <w:rsid w:val="001F32CD"/>
    <w:rsid w:val="00237438"/>
    <w:rsid w:val="00271B74"/>
    <w:rsid w:val="00281440"/>
    <w:rsid w:val="002822A5"/>
    <w:rsid w:val="002A1BA5"/>
    <w:rsid w:val="002B69C1"/>
    <w:rsid w:val="002F4CD3"/>
    <w:rsid w:val="00313776"/>
    <w:rsid w:val="00326D92"/>
    <w:rsid w:val="00337AED"/>
    <w:rsid w:val="00393F72"/>
    <w:rsid w:val="004233EC"/>
    <w:rsid w:val="0042765A"/>
    <w:rsid w:val="00460F8A"/>
    <w:rsid w:val="00487371"/>
    <w:rsid w:val="004F2503"/>
    <w:rsid w:val="005226C3"/>
    <w:rsid w:val="005336A4"/>
    <w:rsid w:val="00550C04"/>
    <w:rsid w:val="00567709"/>
    <w:rsid w:val="005C485F"/>
    <w:rsid w:val="006105C2"/>
    <w:rsid w:val="0062060C"/>
    <w:rsid w:val="00665600"/>
    <w:rsid w:val="006A6401"/>
    <w:rsid w:val="006B3FB7"/>
    <w:rsid w:val="006E2CF7"/>
    <w:rsid w:val="006E2F0F"/>
    <w:rsid w:val="006F17C8"/>
    <w:rsid w:val="00716B9A"/>
    <w:rsid w:val="00730830"/>
    <w:rsid w:val="007552FC"/>
    <w:rsid w:val="007564C8"/>
    <w:rsid w:val="007904F6"/>
    <w:rsid w:val="00812BDF"/>
    <w:rsid w:val="00843A7E"/>
    <w:rsid w:val="00877348"/>
    <w:rsid w:val="00893209"/>
    <w:rsid w:val="008A1CAB"/>
    <w:rsid w:val="008A2C0D"/>
    <w:rsid w:val="008B4B42"/>
    <w:rsid w:val="008C7F25"/>
    <w:rsid w:val="008E7BB6"/>
    <w:rsid w:val="009221D7"/>
    <w:rsid w:val="0093639E"/>
    <w:rsid w:val="0095291C"/>
    <w:rsid w:val="00970BE8"/>
    <w:rsid w:val="00A0745E"/>
    <w:rsid w:val="00A33EA5"/>
    <w:rsid w:val="00A52D45"/>
    <w:rsid w:val="00AA78FC"/>
    <w:rsid w:val="00AB1A65"/>
    <w:rsid w:val="00B0294D"/>
    <w:rsid w:val="00B069F6"/>
    <w:rsid w:val="00B3515E"/>
    <w:rsid w:val="00B513F6"/>
    <w:rsid w:val="00B57DBB"/>
    <w:rsid w:val="00B7733C"/>
    <w:rsid w:val="00B92541"/>
    <w:rsid w:val="00BD6BD0"/>
    <w:rsid w:val="00C23658"/>
    <w:rsid w:val="00C2791C"/>
    <w:rsid w:val="00C45678"/>
    <w:rsid w:val="00C97CA5"/>
    <w:rsid w:val="00CD7553"/>
    <w:rsid w:val="00D14E7B"/>
    <w:rsid w:val="00D55322"/>
    <w:rsid w:val="00D70226"/>
    <w:rsid w:val="00D756E5"/>
    <w:rsid w:val="00D803E5"/>
    <w:rsid w:val="00DB1E12"/>
    <w:rsid w:val="00DB75CD"/>
    <w:rsid w:val="00DC7B4F"/>
    <w:rsid w:val="00DD06A9"/>
    <w:rsid w:val="00E05523"/>
    <w:rsid w:val="00E30A41"/>
    <w:rsid w:val="00E35821"/>
    <w:rsid w:val="00E579DC"/>
    <w:rsid w:val="00EE7A20"/>
    <w:rsid w:val="00F76380"/>
    <w:rsid w:val="00F845F7"/>
    <w:rsid w:val="00F87DDA"/>
    <w:rsid w:val="00F91E4D"/>
    <w:rsid w:val="00FA4B2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1FCCD"/>
  <w15:docId w15:val="{129424D9-2365-4826-8431-AF45F22DB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0"/>
      <w:szCs w:val="20"/>
    </w:rPr>
  </w:style>
  <w:style w:type="paragraph" w:styleId="Title">
    <w:name w:val="Title"/>
    <w:basedOn w:val="Normal"/>
    <w:uiPriority w:val="10"/>
    <w:qFormat/>
    <w:pPr>
      <w:ind w:right="2"/>
      <w:jc w:val="center"/>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4F2503"/>
    <w:pPr>
      <w:widowControl/>
      <w:autoSpaceDE/>
      <w:autoSpaceDN/>
    </w:pPr>
    <w:rPr>
      <w:rFonts w:ascii="Calibri" w:eastAsia="Calibri" w:hAnsi="Calibri" w:cs="Calibri"/>
    </w:rPr>
  </w:style>
  <w:style w:type="paragraph" w:styleId="NormalWeb">
    <w:name w:val="Normal (Web)"/>
    <w:basedOn w:val="Normal"/>
    <w:uiPriority w:val="99"/>
    <w:semiHidden/>
    <w:unhideWhenUsed/>
    <w:rsid w:val="00C45678"/>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95291C"/>
    <w:rPr>
      <w:sz w:val="16"/>
      <w:szCs w:val="16"/>
    </w:rPr>
  </w:style>
  <w:style w:type="paragraph" w:styleId="CommentText">
    <w:name w:val="annotation text"/>
    <w:basedOn w:val="Normal"/>
    <w:link w:val="CommentTextChar"/>
    <w:uiPriority w:val="99"/>
    <w:unhideWhenUsed/>
    <w:rsid w:val="0095291C"/>
    <w:rPr>
      <w:sz w:val="20"/>
      <w:szCs w:val="20"/>
    </w:rPr>
  </w:style>
  <w:style w:type="character" w:customStyle="1" w:styleId="CommentTextChar">
    <w:name w:val="Comment Text Char"/>
    <w:basedOn w:val="DefaultParagraphFont"/>
    <w:link w:val="CommentText"/>
    <w:uiPriority w:val="99"/>
    <w:rsid w:val="0095291C"/>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95291C"/>
    <w:rPr>
      <w:b/>
      <w:bCs/>
    </w:rPr>
  </w:style>
  <w:style w:type="character" w:customStyle="1" w:styleId="CommentSubjectChar">
    <w:name w:val="Comment Subject Char"/>
    <w:basedOn w:val="CommentTextChar"/>
    <w:link w:val="CommentSubject"/>
    <w:uiPriority w:val="99"/>
    <w:semiHidden/>
    <w:rsid w:val="0095291C"/>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ect.checkpoint.com/v2/r03/___http://www.sedarplus.ca/___.YzFjOnRjajE6YzpvZmZpY2UzNjVfZW1haWxzX2F0dGFjaG1lbnQ6NGQyZWU4ZTMxOTYwOGFmZDYzZGU0NTA5MGM3OGYzOWY6NzpiYTgwOmU2MTFkMmFkMWFiM2Q0NmIyYjJjMzFiODNkYjk0YTU5YjcxYzJjZjZjN2ZlZGFmZmUxZTc3N2I0Y2QyMTRiMDE6cDpUOlQ" TargetMode="External"/><Relationship Id="rId3" Type="http://schemas.openxmlformats.org/officeDocument/2006/relationships/settings" Target="settings.xml"/><Relationship Id="rId7" Type="http://schemas.openxmlformats.org/officeDocument/2006/relationships/hyperlink" Target="mailto:chris@asepmedica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IMANAGE!33794300.4</documentid>
  <senderid>JODY.BELLY@GROUPETCJ.CA</senderid>
  <senderemail>JODY.BELLY@GROUPETCJ.CA</senderemail>
  <lastmodified>2026-09-02T16:37:00.0000000-04:00</lastmodified>
  <database>IMANAGE</database>
</properties>
</file>

<file path=customXml/itemProps1.xml><?xml version="1.0" encoding="utf-8"?>
<ds:datastoreItem xmlns:ds="http://schemas.openxmlformats.org/officeDocument/2006/customXml" ds:itemID="{5D7FE1A8-3FEF-45CE-9171-9E2D78A31797}">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1020</Words>
  <Characters>6134</Characters>
  <Application>Microsoft Office Word</Application>
  <DocSecurity>0</DocSecurity>
  <Lines>85</Lines>
  <Paragraphs>19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Lauralia Jinerenco</dc:creator>
  <cp:lastModifiedBy>Chris Dallin</cp:lastModifiedBy>
  <cp:revision>8</cp:revision>
  <dcterms:created xsi:type="dcterms:W3CDTF">2026-09-02T20:37:00Z</dcterms:created>
  <dcterms:modified xsi:type="dcterms:W3CDTF">2026-09-05T02:03:00Z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2026-04-29T00:00:00Z</vt:filetime>
  </property>
  <property fmtid="{D5CDD505-2E9C-101B-9397-08002B2CF9AE}" pid="3" name="Creator">
    <vt:lpwstr>PDFium</vt:lpwstr>
  </property>
  <property fmtid="{D5CDD505-2E9C-101B-9397-08002B2CF9AE}" pid="4" name="JEWJCDocID">
    <vt:lpwstr>890c5b57-f563-4d7a-9901-125fc1007bef</vt:lpwstr>
  </property>
  <property fmtid="{D5CDD505-2E9C-101B-9397-08002B2CF9AE}" pid="5" name="LastSaved">
    <vt:filetime>2026-04-29T00:00:00Z</vt:filetime>
  </property>
  <property fmtid="{D5CDD505-2E9C-101B-9397-08002B2CF9AE}" pid="6" name="Producer">
    <vt:lpwstr>PDFium</vt:lpwstr>
  </property>
</Properties>
</file>