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F4B7F" w14:textId="77777777" w:rsidR="00136A26" w:rsidRDefault="00136A26">
      <w:pPr>
        <w:spacing w:after="120" w:line="240" w:lineRule="auto"/>
        <w:jc w:val="center"/>
        <w:rPr>
          <w:b/>
          <w:bCs/>
          <w:color w:val="222222"/>
          <w:sz w:val="28"/>
          <w:szCs w:val="28"/>
        </w:rPr>
      </w:pPr>
    </w:p>
    <w:p w14:paraId="0F801C55" w14:textId="77777777" w:rsidR="00136A26" w:rsidRDefault="0076184A">
      <w:pPr>
        <w:spacing w:after="120" w:line="240" w:lineRule="auto"/>
        <w:jc w:val="center"/>
        <w:rPr>
          <w:b/>
          <w:bCs/>
          <w:color w:val="222222"/>
          <w:sz w:val="28"/>
          <w:szCs w:val="28"/>
        </w:rPr>
      </w:pPr>
      <w:r>
        <w:rPr>
          <w:b/>
          <w:bCs/>
          <w:color w:val="222222"/>
          <w:sz w:val="28"/>
          <w:szCs w:val="28"/>
        </w:rPr>
        <w:t xml:space="preserve">FintechWerx Launches </w:t>
      </w:r>
      <w:proofErr w:type="spellStart"/>
      <w:r>
        <w:rPr>
          <w:b/>
          <w:bCs/>
          <w:color w:val="222222"/>
          <w:sz w:val="28"/>
          <w:szCs w:val="28"/>
        </w:rPr>
        <w:t>MerchantWerx</w:t>
      </w:r>
      <w:proofErr w:type="spellEnd"/>
      <w:r>
        <w:rPr>
          <w:b/>
          <w:bCs/>
          <w:color w:val="222222"/>
          <w:sz w:val="28"/>
          <w:szCs w:val="28"/>
        </w:rPr>
        <w:t xml:space="preserve"> 2.0 after Securing Rights to Merchant Onboarding and Partner Management Platform </w:t>
      </w:r>
    </w:p>
    <w:p w14:paraId="40CBB083" w14:textId="22BEA6DA" w:rsidR="00136A26" w:rsidRDefault="0076184A">
      <w:pPr>
        <w:spacing w:before="240" w:after="240"/>
        <w:jc w:val="both"/>
      </w:pPr>
      <w:r>
        <w:t xml:space="preserve">Vancouver, British Columbia - </w:t>
      </w:r>
      <w:r w:rsidR="00727CB1">
        <w:t>1</w:t>
      </w:r>
      <w:r w:rsidR="004E2A55">
        <w:t>1</w:t>
      </w:r>
      <w:r>
        <w:t xml:space="preserve"> June, 2026 - FintechWerx International Software Services Inc. (CSE: WERX) (“FintechWerx” or the “Company”) is pleased to announce the launch of </w:t>
      </w:r>
      <w:proofErr w:type="spellStart"/>
      <w:r>
        <w:t>MerchantWerx</w:t>
      </w:r>
      <w:proofErr w:type="spellEnd"/>
      <w:r>
        <w:t xml:space="preserve"> 2.0, an enhanced merchant onboarding and partner management platform developed to support merchants, independent sales organizations ("ISOs"), agents, payment service providers, financial technology companies, and other channel partners.</w:t>
      </w:r>
    </w:p>
    <w:p w14:paraId="613F5DF1" w14:textId="55A4643C" w:rsidR="00136A26" w:rsidRDefault="0076184A">
      <w:pPr>
        <w:spacing w:before="240" w:after="240"/>
        <w:jc w:val="both"/>
      </w:pPr>
      <w:r>
        <w:t xml:space="preserve">The launch follows the execution of a License and Services Agreement (the “Agreement”), dated </w:t>
      </w:r>
      <w:r w:rsidR="00FF3358">
        <w:t>June 1</w:t>
      </w:r>
      <w:r>
        <w:t xml:space="preserve"> 2026, with Secure Digital Payments Corp. (“SDP”), an arm's length party, pursuant to which FintechWerx has obtained the rights to market, distribute, sublicense, integrate, and support SDP's merchant onboarding and partner management technology globally in mutually agreed jurisdictions.</w:t>
      </w:r>
    </w:p>
    <w:p w14:paraId="5703C3E9" w14:textId="77777777" w:rsidR="00136A26" w:rsidRDefault="0076184A">
      <w:pPr>
        <w:spacing w:before="240" w:after="240"/>
        <w:jc w:val="both"/>
      </w:pPr>
      <w:proofErr w:type="spellStart"/>
      <w:r>
        <w:t>MerchantWerx</w:t>
      </w:r>
      <w:proofErr w:type="spellEnd"/>
      <w:r>
        <w:t xml:space="preserve"> 2.0 builds on </w:t>
      </w:r>
      <w:proofErr w:type="spellStart"/>
      <w:r>
        <w:t>FintechWerx's</w:t>
      </w:r>
      <w:proofErr w:type="spellEnd"/>
      <w:r>
        <w:t xml:space="preserve"> existing onboarding capabilities by adding a broader set of tools for merchant application management, identity verification, business validation, document collection, underwriting support, electronic signatures, communication tracking, multilingual onboarding, white-label deployment, configurable workflows, and partner administration.</w:t>
      </w:r>
    </w:p>
    <w:p w14:paraId="467FA7EC" w14:textId="77777777" w:rsidR="00136A26" w:rsidRDefault="0076184A">
      <w:pPr>
        <w:spacing w:before="240" w:after="240"/>
        <w:jc w:val="both"/>
      </w:pPr>
      <w:r>
        <w:t>Under the Agreement, FintechWerx has been granted a non-exclusive and non-transferable licence to market, distribute, sublicense, and integrate the technology into third-party products and environments and to provide support services to customers utilizing the platform. SDP will continue to provide maintenance, support services, platform enhancements, and future modifications to the technology.</w:t>
      </w:r>
    </w:p>
    <w:p w14:paraId="2A59E041" w14:textId="50F62930" w:rsidR="00136A26" w:rsidRDefault="0076184A">
      <w:pPr>
        <w:spacing w:before="240" w:after="240"/>
        <w:jc w:val="both"/>
      </w:pPr>
      <w:r>
        <w:t xml:space="preserve">The Agreement provides for an initial term of </w:t>
      </w:r>
      <w:r w:rsidR="00F73C52">
        <w:t xml:space="preserve">one </w:t>
      </w:r>
      <w:r>
        <w:t xml:space="preserve">year with automatic </w:t>
      </w:r>
      <w:r w:rsidR="00F73C52">
        <w:t>one-year</w:t>
      </w:r>
      <w:r>
        <w:t xml:space="preserve"> renewal periods unless terminated in accordance with its terms As consideration for the grant of the License, the Licensee shall issue to the Licensor</w:t>
      </w:r>
      <w:r w:rsidR="009476FE">
        <w:t>,</w:t>
      </w:r>
      <w:r>
        <w:t xml:space="preserve"> </w:t>
      </w:r>
      <w:r w:rsidR="004E2A55">
        <w:t xml:space="preserve">Eighty Five Thousand and Sixty Two </w:t>
      </w:r>
      <w:r w:rsidR="009476FE">
        <w:t xml:space="preserve"> </w:t>
      </w:r>
      <w:r w:rsidR="00727CB1">
        <w:t>(</w:t>
      </w:r>
      <w:r w:rsidR="004E2A55">
        <w:t>85,062</w:t>
      </w:r>
      <w:r w:rsidR="00727CB1">
        <w:t xml:space="preserve">) </w:t>
      </w:r>
      <w:r>
        <w:t xml:space="preserve"> common shares (each, a “Share”) in the capital of the Licensee equal to USD$50,000 divided by the 10-day volume weighted average price of the Shares on the Canadian Securities Exchange (the “CSE”), or such other stock exchange that the Shares may be listed at the time of issuance, for the 10 trading days prior t</w:t>
      </w:r>
      <w:r>
        <w:t>o the date of issuance, subject to such other price as may be required by the policies of the CSE, with such Share issuance due on the first date of the Term and the first date of any subsequent Renewal Terms.</w:t>
      </w:r>
    </w:p>
    <w:p w14:paraId="54FCD715" w14:textId="77777777" w:rsidR="00136A26" w:rsidRDefault="0076184A">
      <w:pPr>
        <w:spacing w:before="240" w:after="240"/>
        <w:jc w:val="both"/>
      </w:pPr>
      <w:r>
        <w:t xml:space="preserve">The launch of </w:t>
      </w:r>
      <w:proofErr w:type="spellStart"/>
      <w:r>
        <w:t>MerchantWerx</w:t>
      </w:r>
      <w:proofErr w:type="spellEnd"/>
      <w:r>
        <w:t xml:space="preserve"> 2.0 represents the next step in </w:t>
      </w:r>
      <w:proofErr w:type="spellStart"/>
      <w:r>
        <w:t>FintechWerx's</w:t>
      </w:r>
      <w:proofErr w:type="spellEnd"/>
      <w:r>
        <w:t xml:space="preserve"> merchant enablement strategy, expanding the Company's ability to support the full onboarding lifecycle from application intake and verification through underwriting, approval, activation, and ongoing partner management.</w:t>
      </w:r>
    </w:p>
    <w:p w14:paraId="02D426AF" w14:textId="77777777" w:rsidR="00136A26" w:rsidRDefault="0076184A">
      <w:pPr>
        <w:spacing w:before="240" w:after="240"/>
        <w:jc w:val="both"/>
      </w:pPr>
      <w:r>
        <w:t>Merchant onboarding remains one of the most fragmented operational processes within the payments industry, according to George Hofsink, Co-Founder and CEO of FintechWerx.</w:t>
      </w:r>
    </w:p>
    <w:p w14:paraId="1FDCCA30" w14:textId="77777777" w:rsidR="00136A26" w:rsidRDefault="0076184A">
      <w:pPr>
        <w:spacing w:before="240" w:after="240"/>
        <w:jc w:val="both"/>
      </w:pPr>
      <w:r>
        <w:lastRenderedPageBreak/>
        <w:t>“By expanding our onboarding, compliance, underwriting, document management, and partner administration capabilities, we are giving merchants and payment partners a more complete operating layer,” says Hofsink. “That strengthens our ability to support growth across the FintechWerx ecosystem.”</w:t>
      </w:r>
    </w:p>
    <w:p w14:paraId="74455945" w14:textId="77777777" w:rsidR="00136A26" w:rsidRDefault="0076184A">
      <w:pPr>
        <w:spacing w:before="240" w:after="240"/>
        <w:jc w:val="both"/>
      </w:pPr>
      <w:r>
        <w:t xml:space="preserve">With the introduction of </w:t>
      </w:r>
      <w:proofErr w:type="spellStart"/>
      <w:r>
        <w:t>MerchantWerx</w:t>
      </w:r>
      <w:proofErr w:type="spellEnd"/>
      <w:r>
        <w:t xml:space="preserve"> 2.0, FintechWerx has expanded its merchant enablement capabilities beyond traditional onboarding into a more configurable platform for merchant acquisition, compliance administration, underwriting support, document lifecycle management, and partner-led growth.</w:t>
      </w:r>
    </w:p>
    <w:p w14:paraId="237EA800" w14:textId="77777777" w:rsidR="00136A26" w:rsidRDefault="0076184A">
      <w:pPr>
        <w:spacing w:before="240" w:after="240"/>
        <w:jc w:val="both"/>
        <w:rPr>
          <w:b/>
          <w:bCs/>
        </w:rPr>
      </w:pPr>
      <w:r>
        <w:rPr>
          <w:b/>
          <w:bCs/>
        </w:rPr>
        <w:t>About Secure Digital Payments Corp.</w:t>
      </w:r>
    </w:p>
    <w:p w14:paraId="4CFFCC42" w14:textId="77777777" w:rsidR="00136A26" w:rsidRDefault="0076184A">
      <w:pPr>
        <w:spacing w:before="240" w:after="240"/>
        <w:jc w:val="both"/>
      </w:pPr>
      <w:r>
        <w:t>Secure Digital Payments Corp. develops merchant onboarding and partner management technology for payment providers, independent sales organizations, agents, and financial technology companies. Its platform supports merchant application management, identity and business verification, document collection, underwriting workflows, compliance processes, and administrative oversight through a centralized onboarding environment.</w:t>
      </w:r>
    </w:p>
    <w:p w14:paraId="0C4BEC07" w14:textId="77777777" w:rsidR="00136A26" w:rsidRDefault="0076184A">
      <w:pPr>
        <w:spacing w:before="240"/>
        <w:jc w:val="both"/>
        <w:rPr>
          <w:b/>
          <w:bCs/>
        </w:rPr>
      </w:pPr>
      <w:r>
        <w:rPr>
          <w:b/>
          <w:bCs/>
        </w:rPr>
        <w:t>About FintechWerx</w:t>
      </w:r>
    </w:p>
    <w:p w14:paraId="57AA792C" w14:textId="77777777" w:rsidR="00136A26" w:rsidRDefault="0076184A">
      <w:pPr>
        <w:spacing w:before="240"/>
        <w:jc w:val="both"/>
      </w:pPr>
      <w:r>
        <w:t xml:space="preserve">FintechWerx is a Canadian financial technology company providing onboarding, payments, identity verification, fraud mitigation, and data services to merchants, independent sales organizations, and payment service providers, offering an alternative to the need for a patchwork of providers. Additional information is available at www.sedarplus.ca or on the Company’s website: </w:t>
      </w:r>
      <w:hyperlink r:id="rId6">
        <w:r w:rsidR="00136A26">
          <w:rPr>
            <w:color w:val="1155CC"/>
            <w:u w:val="single"/>
          </w:rPr>
          <w:t>www.FintechWerx.com</w:t>
        </w:r>
      </w:hyperlink>
      <w:r>
        <w:t>.</w:t>
      </w:r>
    </w:p>
    <w:p w14:paraId="6385178C" w14:textId="77777777" w:rsidR="00727CB1" w:rsidRDefault="00727CB1">
      <w:pPr>
        <w:spacing w:before="240"/>
        <w:jc w:val="both"/>
      </w:pPr>
    </w:p>
    <w:p w14:paraId="41F76267" w14:textId="13E04F6C" w:rsidR="00136A26" w:rsidRDefault="0076184A" w:rsidP="00727CB1">
      <w:pPr>
        <w:pStyle w:val="NoSpacing"/>
      </w:pPr>
      <w:r>
        <w:rPr>
          <w:b/>
          <w:bCs/>
        </w:rPr>
        <w:t>Francisco Carasquero, FintechWerx Co-Founder and CFO</w:t>
      </w:r>
      <w:r>
        <w:rPr>
          <w:b/>
          <w:bCs/>
        </w:rPr>
        <w:br/>
      </w:r>
      <w:r>
        <w:t>FintechWerx International Software Services Inc.</w:t>
      </w:r>
      <w:r>
        <w:br/>
        <w:t xml:space="preserve">Phone: </w:t>
      </w:r>
      <w:r w:rsidR="00FF2AE5">
        <w:t>(236) 761-WERX (9379)</w:t>
      </w:r>
      <w:r>
        <w:br/>
        <w:t xml:space="preserve">Email: </w:t>
      </w:r>
      <w:hyperlink r:id="rId7">
        <w:r w:rsidR="00136A26">
          <w:rPr>
            <w:color w:val="1155CC"/>
            <w:u w:val="single"/>
          </w:rPr>
          <w:t>info@FintechWerx.com</w:t>
        </w:r>
      </w:hyperlink>
      <w:r>
        <w:br/>
        <w:t>Website:</w:t>
      </w:r>
      <w:hyperlink r:id="rId8">
        <w:r w:rsidR="00136A26">
          <w:t xml:space="preserve"> </w:t>
        </w:r>
      </w:hyperlink>
      <w:hyperlink r:id="rId9">
        <w:r w:rsidR="00136A26">
          <w:rPr>
            <w:color w:val="1155CC"/>
            <w:u w:val="single"/>
          </w:rPr>
          <w:t>www.FintechWerx.com</w:t>
        </w:r>
      </w:hyperlink>
      <w:r>
        <w:br/>
        <w:t xml:space="preserve">Twitter: </w:t>
      </w:r>
      <w:hyperlink r:id="rId10">
        <w:r w:rsidR="00136A26">
          <w:rPr>
            <w:color w:val="1155CC"/>
            <w:u w:val="single"/>
          </w:rPr>
          <w:t>www.X.com/fintechwerx</w:t>
        </w:r>
      </w:hyperlink>
    </w:p>
    <w:p w14:paraId="4A86E5F4" w14:textId="77777777" w:rsidR="00136A26" w:rsidRDefault="0076184A" w:rsidP="00727CB1">
      <w:pPr>
        <w:pStyle w:val="NoSpacing"/>
        <w:rPr>
          <w:b/>
          <w:bCs/>
        </w:rPr>
      </w:pPr>
      <w:r>
        <w:br/>
      </w:r>
      <w:r>
        <w:rPr>
          <w:b/>
          <w:bCs/>
        </w:rPr>
        <w:t>Forward-Looking Information</w:t>
      </w:r>
    </w:p>
    <w:p w14:paraId="3430A7FE" w14:textId="77777777" w:rsidR="00136A26" w:rsidRDefault="0076184A">
      <w:pPr>
        <w:spacing w:before="240" w:after="240"/>
        <w:jc w:val="both"/>
      </w:pPr>
      <w:r>
        <w:t xml:space="preserve">This news release includes certain statements and information that may constitute forward-looking information within the meaning of applicable Canadian securities laws. Forward-looking statements relate to future events or future performance and reflect the expectations or beliefs of management of the Company regarding future events. Generally, forward-looking statements and information can be identified </w:t>
      </w:r>
      <w:proofErr w:type="gramStart"/>
      <w:r>
        <w:t>by the use of</w:t>
      </w:r>
      <w:proofErr w:type="gramEnd"/>
      <w:r>
        <w:t xml:space="preserve"> forward-looking terminology such as “intends”, “believes” or “anticipates”, or variations of such words and phrases or statements that certain actions, events or results “may”, “could”, “should”, “would” or “occur”. This information and these statements, referred to herein as “forward-looking statements”, are not historical facts, are made as of the date of this news release and include without limitation, statements regarding discussions of future plans, estimates and forecasts and statements</w:t>
      </w:r>
      <w:r>
        <w:t xml:space="preserve"> as to management's expectations and intentions with respect to, among other things: the anticipated commercialization, integration, performance and benefits of the onboarding </w:t>
      </w:r>
      <w:r>
        <w:lastRenderedPageBreak/>
        <w:t>platform and licensing agreement with Secure Digital Payments Corp., the expected support, maintenance and enhancement of the platform by Secure Digital Payments Corp., the anticipated enhancement of merchant acquisition and onboarding capabilities, the anticipated commercial and operational outcomes resulting from the relationship be</w:t>
      </w:r>
      <w:r>
        <w:t>tween FintechWerx and Secure Digital Payments Corp., the expected adoption and utilization of the platform by customers and partners, and the Company's ability to market, distribute, sublicense, support, and integrate the technology.</w:t>
      </w:r>
    </w:p>
    <w:p w14:paraId="49A999C2" w14:textId="77777777" w:rsidR="00136A26" w:rsidRDefault="0076184A">
      <w:pPr>
        <w:spacing w:before="240" w:after="240"/>
        <w:jc w:val="both"/>
      </w:pPr>
      <w:r>
        <w:t>Although FintechWerx believes that such statements are reasonable and reflect expectations of future developments and other factors which management believes to be reasonable and relevant, FintechWerx can give no assurance that such expectations will prove to be correct. In making the forward-looking statements in this news release, FintechWerx has applied several material assumptions, including without limitation, that market fundamentals will support the viability of the FintechWerx platform, that the onb</w:t>
      </w:r>
      <w:r>
        <w:t>oarding technology will be successfully integrated into the Company's operations and commercial offerings, that Secure Digital Payments Corp. will continue to provide support, maintenance, enhancements and modifications to the platform as contemplated under the Agreement, the availability of the financing required for FintechWerx to carry out its planned future activities, that customers and partners will adopt the platform as anticipated, and the availability of and the ability to retain and attract qualif</w:t>
      </w:r>
      <w:r>
        <w:t>ied personnel.</w:t>
      </w:r>
    </w:p>
    <w:p w14:paraId="0A7C8331" w14:textId="77777777" w:rsidR="00136A26" w:rsidRDefault="0076184A">
      <w:pPr>
        <w:spacing w:before="240" w:after="240"/>
        <w:jc w:val="both"/>
      </w:pPr>
      <w:r>
        <w:t xml:space="preserve">The outcome of the events described in these forward-looking statements is subject to known and unknown risks, uncertainties, and other factors that may cause </w:t>
      </w:r>
      <w:proofErr w:type="spellStart"/>
      <w:r>
        <w:t>FintechWerx's</w:t>
      </w:r>
      <w:proofErr w:type="spellEnd"/>
      <w:r>
        <w:t xml:space="preserve"> actual results, performance, or achievements to differ materially from those described in the forward-looking statements, including, among other things: the impact of macroeconomic uncertainties and market volatility; </w:t>
      </w:r>
      <w:proofErr w:type="spellStart"/>
      <w:r>
        <w:t>FintechWerx's</w:t>
      </w:r>
      <w:proofErr w:type="spellEnd"/>
      <w:r>
        <w:t xml:space="preserve"> financial performance, including expectations regarding its results of operations and the assumptions underlying such expectations, and ability to achieve and sustain profitability; </w:t>
      </w:r>
      <w:proofErr w:type="spellStart"/>
      <w:r>
        <w:t>FintechWerx's</w:t>
      </w:r>
      <w:proofErr w:type="spellEnd"/>
      <w:r>
        <w:t xml:space="preserve"> ability to attract and retain customers; </w:t>
      </w:r>
      <w:proofErr w:type="spellStart"/>
      <w:r>
        <w:t>FintechWerx's</w:t>
      </w:r>
      <w:proofErr w:type="spellEnd"/>
      <w:r>
        <w:t xml:space="preserve"> ability to comp</w:t>
      </w:r>
      <w:r>
        <w:t xml:space="preserve">ete effectively in an intensely competitive market; </w:t>
      </w:r>
      <w:proofErr w:type="spellStart"/>
      <w:r>
        <w:t>FintechWerx's</w:t>
      </w:r>
      <w:proofErr w:type="spellEnd"/>
      <w:r>
        <w:t xml:space="preserve"> ability to comply with modified or new industry standards, laws and regulations applying to its business; risks related to the implementation, integration, performance, support, enhancement, commercialization, or termination of the Agreement with Secure Digital Payments Corp.; and increased costs associated with regulatory compliance.</w:t>
      </w:r>
    </w:p>
    <w:p w14:paraId="65C1AEDD" w14:textId="77777777" w:rsidR="00136A26" w:rsidRDefault="0076184A">
      <w:pPr>
        <w:spacing w:before="240" w:after="240"/>
        <w:jc w:val="both"/>
      </w:pPr>
      <w:r>
        <w:t xml:space="preserve">Forward-looking statements represent </w:t>
      </w:r>
      <w:proofErr w:type="spellStart"/>
      <w:r>
        <w:t>FintechWerx's</w:t>
      </w:r>
      <w:proofErr w:type="spellEnd"/>
      <w:r>
        <w:t xml:space="preserve"> management's beliefs and assumptions only as of the date such statements are made. FintechWerx undertakes no obligation to update any forward-looking statements made in this press release to reflect events or circumstances after the date of this press release or to reflect new information or the occurrence of unanticipated events, except as required by law.</w:t>
      </w:r>
    </w:p>
    <w:p w14:paraId="525E39BD" w14:textId="77777777" w:rsidR="00136A26" w:rsidRDefault="0076184A">
      <w:pPr>
        <w:spacing w:before="240" w:after="240"/>
        <w:jc w:val="both"/>
      </w:pPr>
      <w:r>
        <w:rPr>
          <w:b/>
          <w:bCs/>
        </w:rPr>
        <w:t xml:space="preserve">The Canadian Securities Exchange nor the Canadian Investment Regulatory Organization has neither approved </w:t>
      </w:r>
      <w:proofErr w:type="gramStart"/>
      <w:r>
        <w:rPr>
          <w:b/>
          <w:bCs/>
        </w:rPr>
        <w:t>or</w:t>
      </w:r>
      <w:proofErr w:type="gramEnd"/>
      <w:r>
        <w:rPr>
          <w:b/>
          <w:bCs/>
        </w:rPr>
        <w:t xml:space="preserve"> disapproved of the contents of this press release.</w:t>
      </w:r>
    </w:p>
    <w:p w14:paraId="03D9DF41" w14:textId="77777777" w:rsidR="00136A26" w:rsidRDefault="0076184A">
      <w:r>
        <w:br/>
      </w:r>
    </w:p>
    <w:p w14:paraId="5856810D" w14:textId="77777777" w:rsidR="00136A26" w:rsidRDefault="00136A26"/>
    <w:p w14:paraId="09A1B1A8" w14:textId="77777777" w:rsidR="00136A26" w:rsidRDefault="00136A26"/>
    <w:sectPr w:rsidR="00136A26">
      <w:head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A2310" w14:textId="77777777" w:rsidR="0076184A" w:rsidRDefault="0076184A">
      <w:pPr>
        <w:spacing w:line="240" w:lineRule="auto"/>
      </w:pPr>
      <w:r>
        <w:separator/>
      </w:r>
    </w:p>
  </w:endnote>
  <w:endnote w:type="continuationSeparator" w:id="0">
    <w:p w14:paraId="23119ADE" w14:textId="77777777" w:rsidR="0076184A" w:rsidRDefault="0076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1" w:fontKey="{AABF48E8-E9B6-465A-A279-0DFBA3F282B7}"/>
  </w:font>
  <w:font w:name="Calibri">
    <w:panose1 w:val="020F0502020204030204"/>
    <w:charset w:val="00"/>
    <w:family w:val="swiss"/>
    <w:pitch w:val="variable"/>
    <w:sig w:usb0="E4002EFF" w:usb1="C200247B" w:usb2="00000009" w:usb3="00000000" w:csb0="000001FF" w:csb1="00000000"/>
    <w:embedRegular r:id="rId2" w:fontKey="{7959C297-502E-44BA-9D54-DD0C6135CD21}"/>
  </w:font>
  <w:font w:name="Cambria">
    <w:panose1 w:val="02040503050406030204"/>
    <w:charset w:val="00"/>
    <w:family w:val="roman"/>
    <w:pitch w:val="variable"/>
    <w:sig w:usb0="E00006FF" w:usb1="420024FF" w:usb2="02000000" w:usb3="00000000" w:csb0="0000019F" w:csb1="00000000"/>
    <w:embedRegular r:id="rId3" w:fontKey="{CFA1FCE5-DFA0-4AC6-9C7B-91EF5DDF9A0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20B97" w14:textId="77777777" w:rsidR="0076184A" w:rsidRDefault="0076184A">
      <w:pPr>
        <w:spacing w:line="240" w:lineRule="auto"/>
      </w:pPr>
      <w:r>
        <w:separator/>
      </w:r>
    </w:p>
  </w:footnote>
  <w:footnote w:type="continuationSeparator" w:id="0">
    <w:p w14:paraId="36F28C1C" w14:textId="77777777" w:rsidR="0076184A" w:rsidRDefault="007618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F138F" w14:textId="77777777" w:rsidR="00136A26" w:rsidRDefault="0076184A">
    <w:pPr>
      <w:widowControl w:val="0"/>
      <w:spacing w:line="240" w:lineRule="auto"/>
      <w:rPr>
        <w:rFonts w:ascii="Arial Narrow" w:eastAsia="Arial Narrow" w:hAnsi="Arial Narrow" w:cs="Arial Narrow"/>
      </w:rPr>
    </w:pPr>
    <w:r>
      <w:rPr>
        <w:rFonts w:ascii="Arial Narrow" w:eastAsia="Arial Narrow" w:hAnsi="Arial Narrow" w:cs="Arial Narrow"/>
        <w:noProof/>
      </w:rPr>
      <w:drawing>
        <wp:inline distT="114300" distB="114300" distL="114300" distR="114300" wp14:anchorId="6E2528D8" wp14:editId="229CEACB">
          <wp:extent cx="1485900" cy="5905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85900" cy="590550"/>
                  </a:xfrm>
                  <a:prstGeom prst="rect">
                    <a:avLst/>
                  </a:prstGeom>
                  <a:ln/>
                </pic:spPr>
              </pic:pic>
            </a:graphicData>
          </a:graphic>
        </wp:inline>
      </w:drawing>
    </w:r>
  </w:p>
  <w:p w14:paraId="3C6E536E" w14:textId="77777777" w:rsidR="00136A26" w:rsidRDefault="00136A26">
    <w:pPr>
      <w:widowControl w:val="0"/>
      <w:spacing w:line="240" w:lineRule="auto"/>
      <w:rPr>
        <w:rFonts w:ascii="Arial Narrow" w:eastAsia="Arial Narrow" w:hAnsi="Arial Narrow" w:cs="Arial Narrow"/>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A26"/>
    <w:rsid w:val="000A33EB"/>
    <w:rsid w:val="00136A26"/>
    <w:rsid w:val="00460DC9"/>
    <w:rsid w:val="0048259B"/>
    <w:rsid w:val="004E2A55"/>
    <w:rsid w:val="006F2E8F"/>
    <w:rsid w:val="00727CB1"/>
    <w:rsid w:val="0076184A"/>
    <w:rsid w:val="00920DB1"/>
    <w:rsid w:val="009476FE"/>
    <w:rsid w:val="00970826"/>
    <w:rsid w:val="00EA563F"/>
    <w:rsid w:val="00F73C52"/>
    <w:rsid w:val="00FC1C37"/>
    <w:rsid w:val="00FF2AE5"/>
    <w:rsid w:val="00FF335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D25A7"/>
  <w15:docId w15:val="{7BE1FF99-8639-4E57-B5D4-0FE61D3DD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Spacing">
    <w:name w:val="No Spacing"/>
    <w:uiPriority w:val="1"/>
    <w:qFormat/>
    <w:rsid w:val="00727CB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intechwerx.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info@FintechWerx.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intechwerx.com"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twittter.com/fintechwerx" TargetMode="External"/><Relationship Id="rId4" Type="http://schemas.openxmlformats.org/officeDocument/2006/relationships/footnotes" Target="footnotes.xml"/><Relationship Id="rId9" Type="http://schemas.openxmlformats.org/officeDocument/2006/relationships/hyperlink" Target="http://www.fintechwerx.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1385</Words>
  <Characters>7898</Characters>
  <Application>Microsoft Office Word</Application>
  <DocSecurity>0</DocSecurity>
  <Lines>65</Lines>
  <Paragraphs>18</Paragraphs>
  <ScaleCrop>false</ScaleCrop>
  <Company/>
  <LinksUpToDate>false</LinksUpToDate>
  <CharactersWithSpaces>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Kent</dc:creator>
  <cp:lastModifiedBy>kent carasquero</cp:lastModifiedBy>
  <cp:revision>2</cp:revision>
  <dcterms:created xsi:type="dcterms:W3CDTF">2026-06-29T20:52:00Z</dcterms:created>
  <dcterms:modified xsi:type="dcterms:W3CDTF">2026-06-29T20:52:00Z</dcterms:modified>
</cp:coreProperties>
</file>