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40A2B" w14:textId="77777777" w:rsidR="00C2017A" w:rsidRDefault="003E2B1C">
      <w:pPr>
        <w:spacing w:after="120" w:line="240" w:lineRule="auto"/>
        <w:jc w:val="center"/>
        <w:rPr>
          <w:b/>
          <w:bCs/>
          <w:color w:val="222222"/>
          <w:sz w:val="28"/>
          <w:szCs w:val="28"/>
        </w:rPr>
      </w:pPr>
      <w:r>
        <w:rPr>
          <w:b/>
          <w:bCs/>
          <w:color w:val="222222"/>
          <w:sz w:val="28"/>
          <w:szCs w:val="28"/>
        </w:rPr>
        <w:t xml:space="preserve">FintechWerx </w:t>
      </w:r>
      <w:r w:rsidR="00A60C53">
        <w:rPr>
          <w:b/>
          <w:bCs/>
          <w:color w:val="222222"/>
          <w:sz w:val="28"/>
          <w:szCs w:val="28"/>
        </w:rPr>
        <w:t xml:space="preserve">Commences </w:t>
      </w:r>
      <w:r w:rsidR="00EC1247">
        <w:rPr>
          <w:b/>
          <w:bCs/>
          <w:color w:val="222222"/>
          <w:sz w:val="28"/>
          <w:szCs w:val="28"/>
        </w:rPr>
        <w:t xml:space="preserve">Transaction Processing with </w:t>
      </w:r>
      <w:proofErr w:type="spellStart"/>
      <w:r w:rsidR="00EC1247">
        <w:rPr>
          <w:b/>
          <w:bCs/>
          <w:color w:val="222222"/>
          <w:sz w:val="28"/>
          <w:szCs w:val="28"/>
        </w:rPr>
        <w:t>AetherEV</w:t>
      </w:r>
      <w:proofErr w:type="spellEnd"/>
      <w:r w:rsidR="00EC1247">
        <w:rPr>
          <w:b/>
          <w:bCs/>
          <w:color w:val="222222"/>
          <w:sz w:val="28"/>
          <w:szCs w:val="28"/>
        </w:rPr>
        <w:t xml:space="preserve"> </w:t>
      </w:r>
    </w:p>
    <w:p w14:paraId="0E96CB25" w14:textId="77777777" w:rsidR="00C2017A" w:rsidRDefault="00EC1247">
      <w:pPr>
        <w:spacing w:before="240" w:after="240"/>
        <w:jc w:val="both"/>
      </w:pPr>
      <w:r>
        <w:t>Vanco</w:t>
      </w:r>
      <w:r w:rsidR="00015C5B">
        <w:t>uver, British Columbia - June 25</w:t>
      </w:r>
      <w:r>
        <w:t xml:space="preserve">, 2026 - FintechWerx International Software Services Inc. (CSE: WERX) (“FintechWerx” or the “Company”) is pleased to announce that its </w:t>
      </w:r>
      <w:proofErr w:type="spellStart"/>
      <w:r>
        <w:t>PaymentWerx</w:t>
      </w:r>
      <w:proofErr w:type="spellEnd"/>
      <w:r>
        <w:t xml:space="preserve"> platform is now live and processing transactions within the </w:t>
      </w:r>
      <w:proofErr w:type="spellStart"/>
      <w:r>
        <w:t>AetherEV</w:t>
      </w:r>
      <w:proofErr w:type="spellEnd"/>
      <w:r>
        <w:t xml:space="preserve"> Energy Corporation (“</w:t>
      </w:r>
      <w:proofErr w:type="spellStart"/>
      <w:r>
        <w:t>AetherEV</w:t>
      </w:r>
      <w:proofErr w:type="spellEnd"/>
      <w:r>
        <w:t>”) electric vehicle charging ecosystem.</w:t>
      </w:r>
    </w:p>
    <w:p w14:paraId="49FC14C5" w14:textId="77777777" w:rsidR="00C2017A" w:rsidRDefault="00EC1247">
      <w:pPr>
        <w:spacing w:before="240" w:after="240"/>
        <w:jc w:val="both"/>
      </w:pPr>
      <w:r>
        <w:t xml:space="preserve">The milestone follows the commercial licensing agreement announced on January 26, 2026, under which </w:t>
      </w:r>
      <w:proofErr w:type="spellStart"/>
      <w:r>
        <w:t>AetherEV</w:t>
      </w:r>
      <w:proofErr w:type="spellEnd"/>
      <w:r>
        <w:t xml:space="preserve"> licensed </w:t>
      </w:r>
      <w:proofErr w:type="spellStart"/>
      <w:r>
        <w:t>FintechWerx’s</w:t>
      </w:r>
      <w:proofErr w:type="spellEnd"/>
      <w:r>
        <w:t xml:space="preserve"> gateway software and transaction processing services for use within its platform. With integration and deployment activities now completed, the relationship has moved from implementation into production. </w:t>
      </w:r>
    </w:p>
    <w:p w14:paraId="66B5AA99" w14:textId="77777777" w:rsidR="00C2017A" w:rsidRDefault="00EC1247">
      <w:pPr>
        <w:spacing w:before="240" w:after="240"/>
        <w:jc w:val="both"/>
      </w:pPr>
      <w:proofErr w:type="spellStart"/>
      <w:r>
        <w:t>AetherEV</w:t>
      </w:r>
      <w:proofErr w:type="spellEnd"/>
      <w:r>
        <w:t xml:space="preserve"> is an energy technology company developing electric vehicle charging and energy solutions designed to support the transition toward distributed, electrified infrastructure. With </w:t>
      </w:r>
      <w:proofErr w:type="spellStart"/>
      <w:r>
        <w:t>FintechWerx’s</w:t>
      </w:r>
      <w:proofErr w:type="spellEnd"/>
      <w:r>
        <w:t xml:space="preserve"> payment infrastructure now integrated, </w:t>
      </w:r>
      <w:proofErr w:type="spellStart"/>
      <w:r>
        <w:t>AetherEV’s</w:t>
      </w:r>
      <w:proofErr w:type="spellEnd"/>
      <w:r>
        <w:t xml:space="preserve"> platform is able to support secure, real-time payment acceptance while maintaining flexibility as its operations expand into new markets and jurisdictions. </w:t>
      </w:r>
    </w:p>
    <w:p w14:paraId="625E9209" w14:textId="77777777" w:rsidR="00C2017A" w:rsidRDefault="00EC1247">
      <w:pPr>
        <w:spacing w:before="240" w:after="240"/>
        <w:jc w:val="both"/>
        <w:rPr>
          <w:highlight w:val="white"/>
        </w:rPr>
      </w:pPr>
      <w:r>
        <w:rPr>
          <w:highlight w:val="white"/>
        </w:rPr>
        <w:t>The successful implementation marks an important commercial milestone for FintechWerx, establishing the Company as an operational embedded payments provider within the electric vehicle technology sector.</w:t>
      </w:r>
    </w:p>
    <w:p w14:paraId="61155708" w14:textId="77777777" w:rsidR="00C2017A" w:rsidRDefault="00EC1247">
      <w:pPr>
        <w:spacing w:before="240" w:after="240"/>
        <w:jc w:val="both"/>
      </w:pPr>
      <w:r>
        <w:t>The Company believes similar opportunities exist across energy, mobility, fleet, gaming, and other sectors that require secure, configurable payment capabilities integrated directly into their operating environments.</w:t>
      </w:r>
      <w:r>
        <w:rPr>
          <w:highlight w:val="white"/>
        </w:rPr>
        <w:t xml:space="preserve"> According to Global Market Insights, the global embedded payments market was valued at USD 24.7 billion in 2024 and is growing at a 30.3% CAGR through 2034.</w:t>
      </w:r>
      <w:r>
        <w:rPr>
          <w:highlight w:val="white"/>
          <w:vertAlign w:val="superscript"/>
        </w:rPr>
        <w:footnoteReference w:id="1"/>
      </w:r>
      <w:r>
        <w:t xml:space="preserve"> Further, </w:t>
      </w:r>
      <w:r>
        <w:rPr>
          <w:highlight w:val="white"/>
        </w:rPr>
        <w:t>this embedded payments segment accounted for over 45% of embedded finance market share in 2024 and is expected to exceed USD 400 billion by 2034.</w:t>
      </w:r>
      <w:r>
        <w:rPr>
          <w:highlight w:val="white"/>
          <w:vertAlign w:val="superscript"/>
        </w:rPr>
        <w:footnoteReference w:id="2"/>
      </w:r>
      <w:r>
        <w:rPr>
          <w:highlight w:val="white"/>
        </w:rPr>
        <w:t xml:space="preserve"> </w:t>
      </w:r>
      <w:r>
        <w:t xml:space="preserve"> </w:t>
      </w:r>
    </w:p>
    <w:p w14:paraId="0AB8C01A" w14:textId="77777777" w:rsidR="00C2017A" w:rsidRDefault="00EC1247">
      <w:pPr>
        <w:spacing w:before="240" w:after="240"/>
        <w:jc w:val="both"/>
      </w:pPr>
      <w:r>
        <w:t>Addressing the significance of the deployment, George Hofsink, Co-Founder and CEO of FintechWerx, emphasized the transition from agreement to commercial operation.</w:t>
      </w:r>
    </w:p>
    <w:p w14:paraId="6CAE5206" w14:textId="77777777" w:rsidR="00C2017A" w:rsidRDefault="00EC1247">
      <w:pPr>
        <w:spacing w:before="240" w:after="240"/>
        <w:jc w:val="both"/>
      </w:pPr>
      <w:r>
        <w:t>"This milestone moves the relationship from implementation into processing live transactions,” says Hofsink. “Many platform operators face similar payments challenges</w:t>
      </w:r>
      <w:r>
        <w:rPr>
          <w:vertAlign w:val="superscript"/>
        </w:rPr>
        <w:footnoteReference w:id="3"/>
      </w:r>
      <w:r>
        <w:t xml:space="preserve">, and the successful implementation with </w:t>
      </w:r>
      <w:proofErr w:type="spellStart"/>
      <w:r>
        <w:t>AetherEV</w:t>
      </w:r>
      <w:proofErr w:type="spellEnd"/>
      <w:r>
        <w:t xml:space="preserve"> provides a strong example of how </w:t>
      </w:r>
      <w:proofErr w:type="spellStart"/>
      <w:r>
        <w:t>PaymentWerx</w:t>
      </w:r>
      <w:proofErr w:type="spellEnd"/>
      <w:r>
        <w:t xml:space="preserve"> can be embedded within specialized operating environments to supp</w:t>
      </w:r>
      <w:r w:rsidR="00015C5B">
        <w:t xml:space="preserve">ort secure, scalable </w:t>
      </w:r>
      <w:r>
        <w:t>transaction processing."</w:t>
      </w:r>
    </w:p>
    <w:p w14:paraId="768DB34D" w14:textId="77777777" w:rsidR="00C2017A" w:rsidRDefault="00EC1247">
      <w:pPr>
        <w:spacing w:before="240" w:after="240"/>
        <w:jc w:val="both"/>
      </w:pPr>
      <w:r>
        <w:lastRenderedPageBreak/>
        <w:t xml:space="preserve">Jerry Lai, CEO of </w:t>
      </w:r>
      <w:proofErr w:type="spellStart"/>
      <w:r>
        <w:t>AetherEV</w:t>
      </w:r>
      <w:proofErr w:type="spellEnd"/>
      <w:r>
        <w:t xml:space="preserve"> Energy Corporation, said the deployment strengthens </w:t>
      </w:r>
      <w:proofErr w:type="spellStart"/>
      <w:r>
        <w:t>AetherEV’s</w:t>
      </w:r>
      <w:proofErr w:type="spellEnd"/>
      <w:r>
        <w:t xml:space="preserve"> ability to scale its charging platform without building payment infrastructure internally.</w:t>
      </w:r>
    </w:p>
    <w:p w14:paraId="35248C61" w14:textId="77777777" w:rsidR="00C2017A" w:rsidRDefault="00EC1247">
      <w:pPr>
        <w:spacing w:before="240" w:after="240"/>
        <w:jc w:val="both"/>
      </w:pPr>
      <w:r>
        <w:t xml:space="preserve">"We are now live with FintechWerx and processing real-time transactions across our platform," says Lai. "For </w:t>
      </w:r>
      <w:proofErr w:type="spellStart"/>
      <w:r>
        <w:t>AetherEV</w:t>
      </w:r>
      <w:proofErr w:type="spellEnd"/>
      <w:r>
        <w:t xml:space="preserve">, payments need to work seamlessly within the user experience while supporting the flexibility required to grow into new markets and locations. FintechWerx provides the infrastructure to do that while allowing us to remain focused on expanding our energy and charging network." </w:t>
      </w:r>
    </w:p>
    <w:p w14:paraId="562A455F" w14:textId="77777777" w:rsidR="00C2017A" w:rsidRDefault="00EC1247">
      <w:pPr>
        <w:spacing w:before="240" w:after="240"/>
        <w:jc w:val="both"/>
      </w:pPr>
      <w:r>
        <w:t xml:space="preserve">As </w:t>
      </w:r>
      <w:proofErr w:type="spellStart"/>
      <w:r>
        <w:t>AetherEV</w:t>
      </w:r>
      <w:proofErr w:type="spellEnd"/>
      <w:r>
        <w:t xml:space="preserve"> brings additional charging locations online, the deployment is expected to support a broader base of recurring transaction activity under the agreement. </w:t>
      </w:r>
    </w:p>
    <w:p w14:paraId="2EB42913" w14:textId="77777777" w:rsidR="00C2017A" w:rsidRDefault="00EC1247">
      <w:pPr>
        <w:spacing w:before="240" w:after="240"/>
        <w:jc w:val="both"/>
        <w:rPr>
          <w:b/>
          <w:bCs/>
        </w:rPr>
      </w:pPr>
      <w:r>
        <w:rPr>
          <w:b/>
          <w:bCs/>
        </w:rPr>
        <w:t xml:space="preserve">About </w:t>
      </w:r>
      <w:proofErr w:type="spellStart"/>
      <w:r>
        <w:rPr>
          <w:b/>
          <w:bCs/>
        </w:rPr>
        <w:t>AetherEV</w:t>
      </w:r>
      <w:proofErr w:type="spellEnd"/>
      <w:r>
        <w:rPr>
          <w:b/>
          <w:bCs/>
        </w:rPr>
        <w:t xml:space="preserve"> Energy Corporation</w:t>
      </w:r>
    </w:p>
    <w:p w14:paraId="50989664" w14:textId="77777777" w:rsidR="00C2017A" w:rsidRDefault="00EC1247">
      <w:pPr>
        <w:spacing w:before="240" w:after="240"/>
        <w:jc w:val="both"/>
      </w:pPr>
      <w:proofErr w:type="spellStart"/>
      <w:r>
        <w:t>AetherEV</w:t>
      </w:r>
      <w:proofErr w:type="spellEnd"/>
      <w:r>
        <w:t xml:space="preserve"> Energy Corporation is an energy technology company developing electric vehicle charging and energy solutions designed to support the transition toward distributed, electrified infrastructure. </w:t>
      </w:r>
      <w:proofErr w:type="spellStart"/>
      <w:r>
        <w:t>AetherEV's</w:t>
      </w:r>
      <w:proofErr w:type="spellEnd"/>
      <w:r>
        <w:t xml:space="preserve"> platform is designed to serve operators, site owners, fleet managers, and mobility providers across multiple markets. Additional information is available at</w:t>
      </w:r>
      <w:hyperlink r:id="rId6">
        <w:r>
          <w:t xml:space="preserve"> </w:t>
        </w:r>
      </w:hyperlink>
      <w:hyperlink r:id="rId7">
        <w:r>
          <w:rPr>
            <w:color w:val="1155CC"/>
            <w:u w:val="single"/>
          </w:rPr>
          <w:t>www.aetherev.com</w:t>
        </w:r>
      </w:hyperlink>
      <w:r>
        <w:t>.</w:t>
      </w:r>
    </w:p>
    <w:p w14:paraId="08CE6807" w14:textId="77777777" w:rsidR="00C2017A" w:rsidRDefault="00EC1247">
      <w:pPr>
        <w:spacing w:before="240"/>
        <w:jc w:val="both"/>
        <w:rPr>
          <w:b/>
          <w:bCs/>
        </w:rPr>
      </w:pPr>
      <w:r>
        <w:rPr>
          <w:b/>
          <w:bCs/>
        </w:rPr>
        <w:t>About FintechWerx</w:t>
      </w:r>
    </w:p>
    <w:p w14:paraId="71798505" w14:textId="77777777" w:rsidR="00C2017A" w:rsidRDefault="00EC1247">
      <w:pPr>
        <w:spacing w:before="240"/>
        <w:jc w:val="both"/>
      </w:pPr>
      <w:r>
        <w:t xml:space="preserve">FintechWerx is a Canadian financial technology company providing onboarding, payments, identity verification, fraud mitigation, and data services to merchants, independent sales organizations, and payment service providers, offering an alternative to the need for a patchwork of providers. Additional information is available at www.sedarplus.ca or on the Company’s website: </w:t>
      </w:r>
      <w:hyperlink r:id="rId8">
        <w:r>
          <w:rPr>
            <w:color w:val="1155CC"/>
            <w:u w:val="single"/>
          </w:rPr>
          <w:t>www.FintechWerx.com</w:t>
        </w:r>
      </w:hyperlink>
      <w:r>
        <w:t>.</w:t>
      </w:r>
    </w:p>
    <w:p w14:paraId="5DF0FEA9" w14:textId="77777777" w:rsidR="002D4761" w:rsidRDefault="002D4761">
      <w:pPr>
        <w:spacing w:before="240"/>
        <w:jc w:val="both"/>
      </w:pPr>
    </w:p>
    <w:p w14:paraId="01667E54" w14:textId="77777777" w:rsidR="00C2017A" w:rsidRDefault="00EC1247" w:rsidP="002D4761">
      <w:pPr>
        <w:pStyle w:val="NoSpacing"/>
      </w:pPr>
      <w:r>
        <w:rPr>
          <w:b/>
          <w:bCs/>
        </w:rPr>
        <w:t>Francisco Carasquero, FintechWerx Co-Founder and CFO</w:t>
      </w:r>
      <w:r>
        <w:rPr>
          <w:b/>
          <w:bCs/>
        </w:rPr>
        <w:br/>
      </w:r>
      <w:r>
        <w:t>FintechWerx International Software Services Inc.</w:t>
      </w:r>
      <w:r>
        <w:br/>
        <w:t xml:space="preserve">Phone: (236) 761- WERX (9379) </w:t>
      </w:r>
      <w:r>
        <w:br/>
        <w:t xml:space="preserve">Email: </w:t>
      </w:r>
      <w:hyperlink r:id="rId9">
        <w:r>
          <w:rPr>
            <w:color w:val="1155CC"/>
            <w:u w:val="single"/>
          </w:rPr>
          <w:t>info@FintechWerx.com</w:t>
        </w:r>
      </w:hyperlink>
      <w:r>
        <w:br/>
        <w:t>Website:</w:t>
      </w:r>
      <w:hyperlink r:id="rId10">
        <w:r>
          <w:t xml:space="preserve"> </w:t>
        </w:r>
      </w:hyperlink>
      <w:hyperlink r:id="rId11">
        <w:r>
          <w:rPr>
            <w:color w:val="1155CC"/>
            <w:u w:val="single"/>
          </w:rPr>
          <w:t>www.FintechWerx.com</w:t>
        </w:r>
      </w:hyperlink>
      <w:r>
        <w:br/>
        <w:t xml:space="preserve">Twitter: </w:t>
      </w:r>
      <w:hyperlink r:id="rId12">
        <w:r>
          <w:rPr>
            <w:color w:val="1155CC"/>
            <w:u w:val="single"/>
          </w:rPr>
          <w:t>www.X.com/fintechwerx</w:t>
        </w:r>
      </w:hyperlink>
    </w:p>
    <w:p w14:paraId="54090354" w14:textId="77777777" w:rsidR="00C2017A" w:rsidRDefault="00EC1247">
      <w:pPr>
        <w:rPr>
          <w:b/>
          <w:bCs/>
        </w:rPr>
      </w:pPr>
      <w:r>
        <w:br/>
      </w:r>
      <w:r>
        <w:rPr>
          <w:b/>
          <w:bCs/>
        </w:rPr>
        <w:t>Forward-Looking Information</w:t>
      </w:r>
    </w:p>
    <w:p w14:paraId="78D18ACD" w14:textId="77777777" w:rsidR="00C2017A" w:rsidRDefault="00EC1247">
      <w:pPr>
        <w:spacing w:before="240" w:after="240"/>
        <w:jc w:val="both"/>
      </w:pPr>
      <w:r>
        <w:t xml:space="preserve">This news release includes certain statements and information that may constitute forward-looking information within the meaning of applicable Canadian securities laws. Forward-looking statements relate to future events or future performance and reflect the expectations or beliefs of management of the Company regarding future events. Generally, forward-looking statements and information can be identified by the use of forward-looking terminology such as "intends", "believes" or "anticipates", or variations of such words and phrases or statements that certain actions, events or results "may", "could", "should", "would" or "occur". This information and these statements, referred to herein as "forward-looking statements", are not historical facts, are made as of the date of this news release </w:t>
      </w:r>
      <w:r>
        <w:lastRenderedPageBreak/>
        <w:t xml:space="preserve">and include without limitation, statements regarding discussions of future plans, estimates and forecasts and statements as to management's expectations and intentions with respect to, among other things: the anticipated benefits arising from the live deployment of the Company's payment infrastructure within the </w:t>
      </w:r>
      <w:proofErr w:type="spellStart"/>
      <w:r>
        <w:t>AetherEV</w:t>
      </w:r>
      <w:proofErr w:type="spellEnd"/>
      <w:r>
        <w:t xml:space="preserve"> platform, the ability to complete transactions under the commercial agreement with </w:t>
      </w:r>
      <w:proofErr w:type="spellStart"/>
      <w:r>
        <w:t>AetherEV</w:t>
      </w:r>
      <w:proofErr w:type="spellEnd"/>
      <w:r>
        <w:t xml:space="preserve">, the anticipated expansion of payment processing activity within the </w:t>
      </w:r>
      <w:proofErr w:type="spellStart"/>
      <w:r>
        <w:t>AetherEV</w:t>
      </w:r>
      <w:proofErr w:type="spellEnd"/>
      <w:r>
        <w:t xml:space="preserve"> ecosystem, the Company's ability to secure and deploy similar embedded payment infrastructure opportunities with additional platform operators, and the anticipated commercial and operational outcomes of the Company's payment infrastructure strategy.</w:t>
      </w:r>
    </w:p>
    <w:p w14:paraId="19C6C540" w14:textId="77777777" w:rsidR="00C2017A" w:rsidRDefault="00EC1247">
      <w:pPr>
        <w:spacing w:before="240" w:after="240"/>
        <w:jc w:val="both"/>
      </w:pPr>
      <w:r>
        <w:t xml:space="preserve">Although FintechWerx believes that such statements are reasonable and reflect expectations of future developments and other factors which management believes to be reasonable and relevant, FintechWerx can give no assurance that such expectations will prove to be correct. In making the forward-looking statements in this news release, FintechWerx has applied several material assumptions, including without limitation, that the </w:t>
      </w:r>
      <w:proofErr w:type="spellStart"/>
      <w:r>
        <w:t>AetherEV</w:t>
      </w:r>
      <w:proofErr w:type="spellEnd"/>
      <w:r>
        <w:t xml:space="preserve"> deployment will continue to operate as anticipated, that the ability to obtain sufficient transaction volumes will develop in accordance with management's expectations, that market fundamentals will support demand for embedded payment infrastructure solutions, that additional commercial opportunities will emerge in related industry sectors, the availability of the financing required for FintechWerx to carry out its planned future activities, and the availability of and the ability to retain and attract qualified personnel.</w:t>
      </w:r>
    </w:p>
    <w:p w14:paraId="7989D594" w14:textId="77777777" w:rsidR="00C2017A" w:rsidRDefault="00EC1247">
      <w:pPr>
        <w:spacing w:before="240" w:after="240"/>
        <w:jc w:val="both"/>
      </w:pPr>
      <w:r>
        <w:t xml:space="preserve">The outcome of the events described in these forward-looking statements is subject to known and unknown risks, uncertainties, and other factors that may cause </w:t>
      </w:r>
      <w:proofErr w:type="spellStart"/>
      <w:r>
        <w:t>FintechWerx's</w:t>
      </w:r>
      <w:proofErr w:type="spellEnd"/>
      <w:r>
        <w:t xml:space="preserve"> actual results, performance, or achievements to differ materially from those described in the forward-looking statements, including, among other things: the impact of macroeconomic uncertainties and market volatility; </w:t>
      </w:r>
      <w:proofErr w:type="spellStart"/>
      <w:r>
        <w:t>FintechWerx's</w:t>
      </w:r>
      <w:proofErr w:type="spellEnd"/>
      <w:r>
        <w:t xml:space="preserve"> financial performance, including expectations regarding its results of operations and the assumptions underlying such expectations, and ability to achieve and sustain profitability; </w:t>
      </w:r>
      <w:proofErr w:type="spellStart"/>
      <w:r>
        <w:t>FintechWerx's</w:t>
      </w:r>
      <w:proofErr w:type="spellEnd"/>
      <w:r>
        <w:t xml:space="preserve"> ability to attract and retain customers; </w:t>
      </w:r>
      <w:proofErr w:type="spellStart"/>
      <w:r>
        <w:t>FintechWerx's</w:t>
      </w:r>
      <w:proofErr w:type="spellEnd"/>
      <w:r>
        <w:t xml:space="preserve"> ability to compete effectively in an intensely competitive market; </w:t>
      </w:r>
      <w:proofErr w:type="spellStart"/>
      <w:r>
        <w:t>FintechWerx's</w:t>
      </w:r>
      <w:proofErr w:type="spellEnd"/>
      <w:r>
        <w:t xml:space="preserve"> ability to comply with modified or new industry standards, laws and regulations applying to its business; risks related to transaction volumes generated through the </w:t>
      </w:r>
      <w:proofErr w:type="spellStart"/>
      <w:r>
        <w:t>AetherEV</w:t>
      </w:r>
      <w:proofErr w:type="spellEnd"/>
      <w:r>
        <w:t xml:space="preserve"> deployment; risks related to the performance, adoption, or continuation of the Company's payment infrastructure services; and increased costs associated with regulatory compliance.</w:t>
      </w:r>
    </w:p>
    <w:p w14:paraId="37D38AD9" w14:textId="77777777" w:rsidR="00C2017A" w:rsidRDefault="00EC1247">
      <w:pPr>
        <w:spacing w:before="240" w:after="240"/>
        <w:jc w:val="both"/>
      </w:pPr>
      <w:r>
        <w:t xml:space="preserve">Forward-looking statements represent </w:t>
      </w:r>
      <w:proofErr w:type="spellStart"/>
      <w:r>
        <w:t>FintechWerx's</w:t>
      </w:r>
      <w:proofErr w:type="spellEnd"/>
      <w:r>
        <w:t xml:space="preserve"> management's beliefs and assumptions only as of the date such statements are made. FintechWerx undertakes no obligation to update any forward-looking statements made in this press release to reflect events or circumstances after the date of this press release or to reflect new information or the occurrence of unanticipated events, except as required by law.</w:t>
      </w:r>
    </w:p>
    <w:p w14:paraId="498278E1" w14:textId="77777777" w:rsidR="00C2017A" w:rsidRDefault="00EC1247">
      <w:pPr>
        <w:spacing w:before="240" w:after="240"/>
        <w:jc w:val="both"/>
      </w:pPr>
      <w:r>
        <w:rPr>
          <w:b/>
          <w:bCs/>
        </w:rPr>
        <w:t xml:space="preserve">The Canadian Securities Exchange nor the Canadian Investment Regulatory Organization has neither approved </w:t>
      </w:r>
      <w:proofErr w:type="gramStart"/>
      <w:r>
        <w:rPr>
          <w:b/>
          <w:bCs/>
        </w:rPr>
        <w:t>or</w:t>
      </w:r>
      <w:proofErr w:type="gramEnd"/>
      <w:r>
        <w:rPr>
          <w:b/>
          <w:bCs/>
        </w:rPr>
        <w:t xml:space="preserve"> disapproved of the contents of this press release.</w:t>
      </w:r>
    </w:p>
    <w:p w14:paraId="2D64259C" w14:textId="77777777" w:rsidR="00C2017A" w:rsidRDefault="00EC1247">
      <w:r>
        <w:lastRenderedPageBreak/>
        <w:br/>
      </w:r>
    </w:p>
    <w:p w14:paraId="76038B4A" w14:textId="77777777" w:rsidR="00C2017A" w:rsidRDefault="00C2017A"/>
    <w:p w14:paraId="010389E0" w14:textId="77777777" w:rsidR="00C2017A" w:rsidRDefault="00C2017A"/>
    <w:sectPr w:rsidR="00C2017A">
      <w:headerReference w:type="default" r:id="rId1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01CBB" w14:textId="77777777" w:rsidR="001E12D5" w:rsidRDefault="001E12D5">
      <w:pPr>
        <w:spacing w:line="240" w:lineRule="auto"/>
      </w:pPr>
      <w:r>
        <w:separator/>
      </w:r>
    </w:p>
  </w:endnote>
  <w:endnote w:type="continuationSeparator" w:id="0">
    <w:p w14:paraId="43BD69FB" w14:textId="77777777" w:rsidR="001E12D5" w:rsidRDefault="001E12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8DBA6FD3-B3D0-469B-AC0D-A8B2C303AD23}"/>
  </w:font>
  <w:font w:name="Arial Narrow">
    <w:panose1 w:val="020B0606020202030204"/>
    <w:charset w:val="00"/>
    <w:family w:val="swiss"/>
    <w:pitch w:val="variable"/>
    <w:sig w:usb0="00000287" w:usb1="00000800" w:usb2="00000000" w:usb3="00000000" w:csb0="0000009F" w:csb1="00000000"/>
    <w:embedRegular r:id="rId2" w:fontKey="{01A26A03-B8FD-4CEA-8F25-F0F19CFF5A66}"/>
  </w:font>
  <w:font w:name="Calibri">
    <w:panose1 w:val="020F0502020204030204"/>
    <w:charset w:val="00"/>
    <w:family w:val="swiss"/>
    <w:pitch w:val="variable"/>
    <w:sig w:usb0="E4002EFF" w:usb1="C200247B" w:usb2="00000009" w:usb3="00000000" w:csb0="000001FF" w:csb1="00000000"/>
    <w:embedRegular r:id="rId3" w:fontKey="{72325F6D-EDD0-406E-8BAD-8E61DBC01A83}"/>
  </w:font>
  <w:font w:name="Cambria">
    <w:panose1 w:val="02040503050406030204"/>
    <w:charset w:val="00"/>
    <w:family w:val="roman"/>
    <w:pitch w:val="variable"/>
    <w:sig w:usb0="E00006FF" w:usb1="420024FF" w:usb2="02000000" w:usb3="00000000" w:csb0="0000019F" w:csb1="00000000"/>
    <w:embedRegular r:id="rId4" w:fontKey="{CD3D9BA8-5608-4926-8689-A701061D781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19934" w14:textId="77777777" w:rsidR="001E12D5" w:rsidRDefault="001E12D5">
      <w:pPr>
        <w:spacing w:line="240" w:lineRule="auto"/>
      </w:pPr>
      <w:r>
        <w:separator/>
      </w:r>
    </w:p>
  </w:footnote>
  <w:footnote w:type="continuationSeparator" w:id="0">
    <w:p w14:paraId="47F91B9B" w14:textId="77777777" w:rsidR="001E12D5" w:rsidRDefault="001E12D5">
      <w:pPr>
        <w:spacing w:line="240" w:lineRule="auto"/>
      </w:pPr>
      <w:r>
        <w:continuationSeparator/>
      </w:r>
    </w:p>
  </w:footnote>
  <w:footnote w:id="1">
    <w:p w14:paraId="4FB80C55" w14:textId="77777777" w:rsidR="00C2017A" w:rsidRDefault="00EC1247">
      <w:pPr>
        <w:spacing w:line="240" w:lineRule="auto"/>
        <w:rPr>
          <w:sz w:val="20"/>
          <w:szCs w:val="20"/>
        </w:rPr>
      </w:pPr>
      <w:r>
        <w:rPr>
          <w:vertAlign w:val="superscript"/>
        </w:rPr>
        <w:footnoteRef/>
      </w:r>
      <w:r>
        <w:t xml:space="preserve"> Global Market Insights, </w:t>
      </w:r>
      <w:r>
        <w:rPr>
          <w:i/>
          <w:iCs/>
        </w:rPr>
        <w:t>Embedded Payments Market Size &amp; Share 2025 – 2034</w:t>
      </w:r>
      <w:r>
        <w:t xml:space="preserve">, November 2024. </w:t>
      </w:r>
      <w:hyperlink r:id="rId1">
        <w:r>
          <w:rPr>
            <w:color w:val="1155CC"/>
            <w:u w:val="single"/>
          </w:rPr>
          <w:t>https://www.gminsights.com/industry-analysis/embedded-payments-market</w:t>
        </w:r>
      </w:hyperlink>
    </w:p>
  </w:footnote>
  <w:footnote w:id="2">
    <w:p w14:paraId="62BE036D" w14:textId="77777777" w:rsidR="00C2017A" w:rsidRDefault="00EC1247">
      <w:pPr>
        <w:spacing w:line="240" w:lineRule="auto"/>
      </w:pPr>
      <w:r>
        <w:rPr>
          <w:vertAlign w:val="superscript"/>
        </w:rPr>
        <w:footnoteRef/>
      </w:r>
      <w:r>
        <w:t xml:space="preserve"> Global Market Insights, </w:t>
      </w:r>
      <w:r>
        <w:rPr>
          <w:i/>
          <w:iCs/>
        </w:rPr>
        <w:t>Embedded Payments Market Size &amp; Share 2026 – 2034</w:t>
      </w:r>
      <w:r>
        <w:t xml:space="preserve">, January 2025. </w:t>
      </w:r>
      <w:hyperlink r:id="rId2">
        <w:r>
          <w:rPr>
            <w:color w:val="1155CC"/>
            <w:u w:val="single"/>
          </w:rPr>
          <w:t>https://www.gminsights.com/industry-analysis/embedded-finance-market</w:t>
        </w:r>
      </w:hyperlink>
    </w:p>
  </w:footnote>
  <w:footnote w:id="3">
    <w:p w14:paraId="2E9651AD" w14:textId="77777777" w:rsidR="00C2017A" w:rsidRDefault="00EC1247">
      <w:pPr>
        <w:spacing w:line="240" w:lineRule="auto"/>
      </w:pPr>
      <w:r>
        <w:rPr>
          <w:vertAlign w:val="superscript"/>
        </w:rPr>
        <w:footnoteRef/>
      </w:r>
      <w:r>
        <w:rPr>
          <w:sz w:val="20"/>
          <w:szCs w:val="20"/>
        </w:rPr>
        <w:t xml:space="preserve"> </w:t>
      </w:r>
      <w:r>
        <w:t xml:space="preserve">The </w:t>
      </w:r>
      <w:proofErr w:type="spellStart"/>
      <w:r>
        <w:t>Strawhecker</w:t>
      </w:r>
      <w:proofErr w:type="spellEnd"/>
      <w:r>
        <w:t xml:space="preserve"> Group, </w:t>
      </w:r>
      <w:r>
        <w:rPr>
          <w:i/>
          <w:iCs/>
        </w:rPr>
        <w:t>Exploring the Future of Software-Integrated Payments: What 2025 Holds for Acquirers</w:t>
      </w:r>
      <w:r>
        <w:t xml:space="preserve">, February 13, 2025. </w:t>
      </w:r>
      <w:hyperlink r:id="rId3">
        <w:r>
          <w:rPr>
            <w:color w:val="1155CC"/>
            <w:u w:val="single"/>
          </w:rPr>
          <w:t>https://tsgpayments.com/exploring-the-future-of-software-integrated-payments-what-2025-holds-for-acquirers/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3D62C" w14:textId="77777777" w:rsidR="00C2017A" w:rsidRDefault="00EC1247">
    <w:pPr>
      <w:widowControl w:val="0"/>
      <w:spacing w:line="240" w:lineRule="auto"/>
      <w:rPr>
        <w:rFonts w:ascii="Arial Narrow" w:eastAsia="Arial Narrow" w:hAnsi="Arial Narrow" w:cs="Arial Narrow"/>
      </w:rPr>
    </w:pPr>
    <w:r>
      <w:rPr>
        <w:rFonts w:ascii="Arial Narrow" w:eastAsia="Arial Narrow" w:hAnsi="Arial Narrow" w:cs="Arial Narrow"/>
        <w:noProof/>
      </w:rPr>
      <w:drawing>
        <wp:inline distT="114300" distB="114300" distL="114300" distR="114300" wp14:anchorId="77941903" wp14:editId="07908E84">
          <wp:extent cx="1485900" cy="5905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85900" cy="590550"/>
                  </a:xfrm>
                  <a:prstGeom prst="rect">
                    <a:avLst/>
                  </a:prstGeom>
                  <a:ln/>
                </pic:spPr>
              </pic:pic>
            </a:graphicData>
          </a:graphic>
        </wp:inline>
      </w:drawing>
    </w:r>
  </w:p>
  <w:p w14:paraId="20EC351C" w14:textId="77777777" w:rsidR="00C2017A" w:rsidRDefault="00C2017A">
    <w:pPr>
      <w:widowControl w:val="0"/>
      <w:spacing w:line="240" w:lineRule="auto"/>
      <w:rPr>
        <w:rFonts w:ascii="Arial Narrow" w:eastAsia="Arial Narrow" w:hAnsi="Arial Narrow" w:cs="Arial Narrow"/>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17A"/>
    <w:rsid w:val="00015C5B"/>
    <w:rsid w:val="000C66FF"/>
    <w:rsid w:val="001E12D5"/>
    <w:rsid w:val="00223C94"/>
    <w:rsid w:val="002868FE"/>
    <w:rsid w:val="002D4761"/>
    <w:rsid w:val="003E2B1C"/>
    <w:rsid w:val="00435A64"/>
    <w:rsid w:val="00460DC9"/>
    <w:rsid w:val="00A60C53"/>
    <w:rsid w:val="00C2017A"/>
    <w:rsid w:val="00EC124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B1A33"/>
  <w15:docId w15:val="{611946D6-57A6-484B-B443-1C93EC963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15C5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C5B"/>
    <w:rPr>
      <w:rFonts w:ascii="Tahoma" w:hAnsi="Tahoma" w:cs="Tahoma"/>
      <w:sz w:val="16"/>
      <w:szCs w:val="16"/>
    </w:rPr>
  </w:style>
  <w:style w:type="paragraph" w:styleId="NoSpacing">
    <w:name w:val="No Spacing"/>
    <w:uiPriority w:val="1"/>
    <w:qFormat/>
    <w:rsid w:val="002D476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fintechwerx.com"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aetherev.com" TargetMode="External"/><Relationship Id="rId12" Type="http://schemas.openxmlformats.org/officeDocument/2006/relationships/hyperlink" Target="http://www.twittter.com/fintechwer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etherev.com" TargetMode="External"/><Relationship Id="rId11" Type="http://schemas.openxmlformats.org/officeDocument/2006/relationships/hyperlink" Target="http://www.fintechwerx.co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fintechwerx.com/" TargetMode="External"/><Relationship Id="rId4" Type="http://schemas.openxmlformats.org/officeDocument/2006/relationships/footnotes" Target="footnotes.xml"/><Relationship Id="rId9" Type="http://schemas.openxmlformats.org/officeDocument/2006/relationships/hyperlink" Target="mailto:info@FintechWerx.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tsgpayments.com/exploring-the-future-of-software-integrated-payments-what-2025-holds-for-acquirers/" TargetMode="External"/><Relationship Id="rId2" Type="http://schemas.openxmlformats.org/officeDocument/2006/relationships/hyperlink" Target="https://www.gminsights.com/industry-analysis/embedded-finance-market" TargetMode="External"/><Relationship Id="rId1" Type="http://schemas.openxmlformats.org/officeDocument/2006/relationships/hyperlink" Target="https://www.gminsights.com/industry-analysis/embedded-payments-mark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1302</Words>
  <Characters>7424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kent carasquero</cp:lastModifiedBy>
  <cp:revision>2</cp:revision>
  <dcterms:created xsi:type="dcterms:W3CDTF">2026-06-29T21:08:00Z</dcterms:created>
  <dcterms:modified xsi:type="dcterms:W3CDTF">2026-06-29T21:08:00Z</dcterms:modified>
</cp:coreProperties>
</file>