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20734" w14:textId="77777777" w:rsidR="00D53D13" w:rsidRDefault="00D53D13" w:rsidP="00D53D13">
      <w:r>
        <w:rPr>
          <w:noProof/>
        </w:rPr>
        <w:drawing>
          <wp:inline distT="0" distB="0" distL="0" distR="0" wp14:anchorId="5AF269F9" wp14:editId="20D86746">
            <wp:extent cx="2722458" cy="749300"/>
            <wp:effectExtent l="0" t="0" r="0" b="0"/>
            <wp:docPr id="1" name="Picture 1" descr="A picture containing object, clock, monito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mpdost2.png"/>
                    <pic:cNvPicPr/>
                  </pic:nvPicPr>
                  <pic:blipFill>
                    <a:blip r:embed="rId5">
                      <a:extLst>
                        <a:ext uri="{28A0092B-C50C-407E-A947-70E740481C1C}">
                          <a14:useLocalDpi xmlns:a14="http://schemas.microsoft.com/office/drawing/2010/main" val="0"/>
                        </a:ext>
                      </a:extLst>
                    </a:blip>
                    <a:stretch>
                      <a:fillRect/>
                    </a:stretch>
                  </pic:blipFill>
                  <pic:spPr>
                    <a:xfrm>
                      <a:off x="0" y="0"/>
                      <a:ext cx="2774463" cy="763613"/>
                    </a:xfrm>
                    <a:prstGeom prst="rect">
                      <a:avLst/>
                    </a:prstGeom>
                  </pic:spPr>
                </pic:pic>
              </a:graphicData>
            </a:graphic>
          </wp:inline>
        </w:drawing>
      </w:r>
    </w:p>
    <w:p w14:paraId="754B0B03" w14:textId="49547CA7" w:rsidR="00D53D13" w:rsidRPr="00681836" w:rsidRDefault="00D53D13" w:rsidP="0070651A">
      <w:pPr>
        <w:shd w:val="clear" w:color="auto" w:fill="FFFFFF"/>
        <w:spacing w:after="0" w:line="540" w:lineRule="atLeast"/>
        <w:ind w:left="540" w:right="540"/>
        <w:jc w:val="center"/>
        <w:outlineLvl w:val="0"/>
        <w:rPr>
          <w:rFonts w:eastAsia="Times New Roman" w:cstheme="minorHAnsi"/>
          <w:color w:val="2F5496"/>
          <w:kern w:val="36"/>
          <w:sz w:val="36"/>
          <w:szCs w:val="36"/>
          <w:lang w:val="en-GB" w:eastAsia="en-GB"/>
        </w:rPr>
      </w:pPr>
      <w:r w:rsidRPr="00681836">
        <w:rPr>
          <w:rFonts w:eastAsia="Times New Roman" w:cstheme="minorHAnsi"/>
          <w:color w:val="2F5496"/>
          <w:kern w:val="36"/>
          <w:sz w:val="36"/>
          <w:szCs w:val="36"/>
          <w:lang w:val="en-GB" w:eastAsia="en-GB"/>
        </w:rPr>
        <w:t xml:space="preserve">BetterLife Pharma </w:t>
      </w:r>
      <w:r w:rsidR="0070651A" w:rsidRPr="0070651A">
        <w:rPr>
          <w:rFonts w:eastAsia="Times New Roman" w:cstheme="minorHAnsi"/>
          <w:color w:val="2F5496"/>
          <w:kern w:val="36"/>
          <w:sz w:val="36"/>
          <w:szCs w:val="36"/>
          <w:lang w:val="en-GB" w:eastAsia="en-GB"/>
        </w:rPr>
        <w:t xml:space="preserve">Announces </w:t>
      </w:r>
      <w:r w:rsidR="00895DF3">
        <w:rPr>
          <w:rFonts w:eastAsia="Times New Roman" w:cstheme="minorHAnsi"/>
          <w:color w:val="2F5496"/>
          <w:kern w:val="36"/>
          <w:sz w:val="36"/>
          <w:szCs w:val="36"/>
          <w:lang w:val="en-GB" w:eastAsia="en-GB"/>
        </w:rPr>
        <w:t>Extension of Warrants</w:t>
      </w:r>
    </w:p>
    <w:p w14:paraId="64FC7638" w14:textId="77777777" w:rsidR="00D53D13" w:rsidRDefault="00D53D13" w:rsidP="00CA5F65">
      <w:pPr>
        <w:spacing w:after="0"/>
        <w:jc w:val="both"/>
        <w:rPr>
          <w:rFonts w:ascii="Calibri" w:eastAsia="Times New Roman" w:hAnsi="Calibri" w:cs="Aptos"/>
          <w:kern w:val="0"/>
          <w:lang w:val="en-US"/>
          <w14:ligatures w14:val="none"/>
        </w:rPr>
      </w:pPr>
    </w:p>
    <w:p w14:paraId="47203EDC" w14:textId="77777777" w:rsidR="00D53D13" w:rsidRDefault="00D53D13" w:rsidP="00CA5F65">
      <w:pPr>
        <w:spacing w:after="0"/>
        <w:jc w:val="both"/>
        <w:rPr>
          <w:rFonts w:ascii="Calibri" w:eastAsia="Times New Roman" w:hAnsi="Calibri" w:cs="Aptos"/>
          <w:kern w:val="0"/>
          <w:lang w:val="en-US"/>
          <w14:ligatures w14:val="none"/>
        </w:rPr>
      </w:pPr>
    </w:p>
    <w:p w14:paraId="088257E4" w14:textId="35B0B5CE" w:rsidR="00895DF3" w:rsidRPr="00474134" w:rsidRDefault="00310355" w:rsidP="00474134">
      <w:pPr>
        <w:spacing w:after="0"/>
        <w:jc w:val="both"/>
        <w:rPr>
          <w:rFonts w:ascii="Calibri" w:eastAsia="Times New Roman" w:hAnsi="Calibri" w:cs="Calibri"/>
          <w:kern w:val="0"/>
          <w:lang w:val="en-US"/>
          <w14:ligatures w14:val="none"/>
        </w:rPr>
      </w:pPr>
      <w:r w:rsidRPr="00474134">
        <w:rPr>
          <w:rFonts w:ascii="Calibri" w:eastAsia="Times New Roman" w:hAnsi="Calibri" w:cs="Calibri"/>
          <w:kern w:val="0"/>
          <w:lang w:val="en-US"/>
          <w14:ligatures w14:val="none"/>
        </w:rPr>
        <w:t xml:space="preserve">VANCOUVER, British Columbia, </w:t>
      </w:r>
      <w:r w:rsidR="0070651A" w:rsidRPr="00474134">
        <w:rPr>
          <w:rFonts w:ascii="Calibri" w:eastAsia="Times New Roman" w:hAnsi="Calibri" w:cs="Calibri"/>
          <w:kern w:val="0"/>
          <w:lang w:val="en-US"/>
          <w14:ligatures w14:val="none"/>
        </w:rPr>
        <w:t>June 1</w:t>
      </w:r>
      <w:r w:rsidR="00474134" w:rsidRPr="00474134">
        <w:rPr>
          <w:rFonts w:ascii="Calibri" w:eastAsia="Times New Roman" w:hAnsi="Calibri" w:cs="Calibri"/>
          <w:kern w:val="0"/>
          <w:lang w:val="en-US"/>
          <w14:ligatures w14:val="none"/>
        </w:rPr>
        <w:t>7</w:t>
      </w:r>
      <w:r w:rsidR="00BF304F" w:rsidRPr="00474134">
        <w:rPr>
          <w:rFonts w:ascii="Calibri" w:eastAsia="Times New Roman" w:hAnsi="Calibri" w:cs="Calibri"/>
          <w:kern w:val="0"/>
          <w:lang w:val="en-US"/>
          <w14:ligatures w14:val="none"/>
        </w:rPr>
        <w:t>, 2026</w:t>
      </w:r>
      <w:r w:rsidRPr="00474134">
        <w:rPr>
          <w:rFonts w:ascii="Calibri" w:eastAsia="Times New Roman" w:hAnsi="Calibri" w:cs="Calibri"/>
          <w:kern w:val="0"/>
          <w:lang w:val="en-US"/>
          <w14:ligatures w14:val="none"/>
        </w:rPr>
        <w:t xml:space="preserve"> - </w:t>
      </w:r>
      <w:r w:rsidR="00CA5F65" w:rsidRPr="00474134">
        <w:rPr>
          <w:rFonts w:ascii="Calibri" w:eastAsia="Times New Roman" w:hAnsi="Calibri" w:cs="Calibri"/>
          <w:kern w:val="0"/>
          <w:lang w:val="en-US"/>
          <w14:ligatures w14:val="none"/>
        </w:rPr>
        <w:t xml:space="preserve">BetterLife Pharma Inc. (“BetterLife” or the “Company”) </w:t>
      </w:r>
      <w:r w:rsidR="00D53D13" w:rsidRPr="00474134">
        <w:rPr>
          <w:rFonts w:ascii="Calibri" w:hAnsi="Calibri" w:cs="Calibri"/>
        </w:rPr>
        <w:t>(</w:t>
      </w:r>
      <w:hyperlink r:id="rId6" w:history="1">
        <w:r w:rsidR="00D53D13" w:rsidRPr="00474134">
          <w:rPr>
            <w:rStyle w:val="Hyperlink"/>
            <w:rFonts w:ascii="Calibri" w:hAnsi="Calibri" w:cs="Calibri"/>
          </w:rPr>
          <w:t>CSE: BETR</w:t>
        </w:r>
      </w:hyperlink>
      <w:r w:rsidR="00D53D13" w:rsidRPr="00474134">
        <w:rPr>
          <w:rFonts w:ascii="Calibri" w:hAnsi="Calibri" w:cs="Calibri"/>
        </w:rPr>
        <w:t xml:space="preserve"> / </w:t>
      </w:r>
      <w:hyperlink r:id="rId7" w:history="1">
        <w:r w:rsidR="00D53D13" w:rsidRPr="00474134">
          <w:rPr>
            <w:rStyle w:val="Hyperlink"/>
            <w:rFonts w:ascii="Calibri" w:hAnsi="Calibri" w:cs="Calibri"/>
          </w:rPr>
          <w:t>OTCQB: BETRF</w:t>
        </w:r>
      </w:hyperlink>
      <w:r w:rsidR="00D53D13" w:rsidRPr="00474134">
        <w:rPr>
          <w:rFonts w:ascii="Calibri" w:hAnsi="Calibri" w:cs="Calibri"/>
        </w:rPr>
        <w:t xml:space="preserve"> / FRA: </w:t>
      </w:r>
      <w:hyperlink r:id="rId8" w:history="1">
        <w:r w:rsidR="00D53D13" w:rsidRPr="00474134">
          <w:rPr>
            <w:rStyle w:val="Hyperlink"/>
            <w:rFonts w:ascii="Calibri" w:hAnsi="Calibri" w:cs="Calibri"/>
          </w:rPr>
          <w:t>NPAU</w:t>
        </w:r>
      </w:hyperlink>
      <w:r w:rsidR="00D53D13" w:rsidRPr="00474134">
        <w:rPr>
          <w:rFonts w:ascii="Calibri" w:hAnsi="Calibri" w:cs="Calibri"/>
        </w:rPr>
        <w:t>)</w:t>
      </w:r>
      <w:r w:rsidR="00CA5F65" w:rsidRPr="00474134">
        <w:rPr>
          <w:rFonts w:ascii="Calibri" w:eastAsia="Times New Roman" w:hAnsi="Calibri" w:cs="Calibri"/>
          <w:kern w:val="0"/>
          <w:lang w:val="en-US"/>
          <w14:ligatures w14:val="none"/>
        </w:rPr>
        <w:t xml:space="preserve"> </w:t>
      </w:r>
      <w:r w:rsidR="0070651A" w:rsidRPr="00474134">
        <w:rPr>
          <w:rFonts w:ascii="Calibri" w:eastAsia="Times New Roman" w:hAnsi="Calibri" w:cs="Calibri"/>
          <w:kern w:val="0"/>
          <w:lang w:val="en-US"/>
          <w14:ligatures w14:val="none"/>
        </w:rPr>
        <w:t>announces</w:t>
      </w:r>
      <w:r w:rsidR="00895DF3" w:rsidRPr="00474134">
        <w:rPr>
          <w:rFonts w:ascii="Calibri" w:eastAsia="Times New Roman" w:hAnsi="Calibri" w:cs="Calibri"/>
          <w:kern w:val="0"/>
          <w:lang w:val="en-US"/>
          <w14:ligatures w14:val="none"/>
        </w:rPr>
        <w:t xml:space="preserve"> that, effective immediately, expiry dates of the certain outstanding share purchase warrants (“Warrants”) are extended by a further one year period</w:t>
      </w:r>
      <w:r w:rsidR="00EF5A95" w:rsidRPr="00474134">
        <w:rPr>
          <w:rFonts w:ascii="Calibri" w:eastAsia="Times New Roman" w:hAnsi="Calibri" w:cs="Calibri"/>
          <w:kern w:val="0"/>
          <w:lang w:val="en-US"/>
          <w14:ligatures w14:val="none"/>
        </w:rPr>
        <w:t>.</w:t>
      </w:r>
    </w:p>
    <w:p w14:paraId="3B7AE503" w14:textId="77777777" w:rsidR="00895DF3" w:rsidRPr="00474134" w:rsidRDefault="00895DF3" w:rsidP="00474134">
      <w:pPr>
        <w:spacing w:after="0"/>
        <w:jc w:val="both"/>
        <w:rPr>
          <w:rFonts w:ascii="Calibri" w:eastAsia="Times New Roman" w:hAnsi="Calibri" w:cs="Calibri"/>
          <w:kern w:val="0"/>
          <w:lang w:val="en-US"/>
          <w14:ligatures w14:val="none"/>
        </w:rPr>
      </w:pPr>
    </w:p>
    <w:p w14:paraId="30CDB14A" w14:textId="573B7F25" w:rsidR="00895DF3" w:rsidRPr="00474134" w:rsidRDefault="00895DF3" w:rsidP="00474134">
      <w:pPr>
        <w:spacing w:after="0"/>
        <w:jc w:val="both"/>
        <w:rPr>
          <w:rFonts w:ascii="Calibri" w:eastAsia="Times New Roman" w:hAnsi="Calibri" w:cs="Calibri"/>
          <w:kern w:val="0"/>
          <w:lang w:val="en-US"/>
          <w14:ligatures w14:val="none"/>
        </w:rPr>
      </w:pPr>
      <w:r w:rsidRPr="00474134">
        <w:rPr>
          <w:rFonts w:ascii="Calibri" w:eastAsia="Times New Roman" w:hAnsi="Calibri" w:cs="Calibri"/>
          <w:kern w:val="0"/>
          <w:lang w:val="en-US"/>
          <w14:ligatures w14:val="none"/>
        </w:rPr>
        <w:t>Warrants, with original exercise price of $0.10 per unit, granted pursuant to conversions of convertible debentures</w:t>
      </w:r>
      <w:r w:rsidR="00474134" w:rsidRPr="00474134">
        <w:rPr>
          <w:rFonts w:ascii="Calibri" w:eastAsia="Times New Roman" w:hAnsi="Calibri" w:cs="Calibri"/>
          <w:kern w:val="0"/>
          <w:lang w:val="en-US"/>
          <w14:ligatures w14:val="none"/>
        </w:rPr>
        <w:t>,</w:t>
      </w:r>
      <w:r w:rsidRPr="00474134">
        <w:rPr>
          <w:rFonts w:ascii="Calibri" w:eastAsia="Times New Roman" w:hAnsi="Calibri" w:cs="Calibri"/>
          <w:kern w:val="0"/>
          <w:lang w:val="en-US"/>
          <w14:ligatures w14:val="none"/>
        </w:rPr>
        <w:t xml:space="preserve"> have been extended as follows:</w:t>
      </w:r>
    </w:p>
    <w:p w14:paraId="44035558" w14:textId="77777777" w:rsidR="00895DF3" w:rsidRPr="00474134" w:rsidRDefault="00895DF3" w:rsidP="00474134">
      <w:pPr>
        <w:spacing w:after="0"/>
        <w:jc w:val="both"/>
        <w:rPr>
          <w:rFonts w:ascii="Calibri" w:eastAsia="Times New Roman" w:hAnsi="Calibri" w:cs="Calibri"/>
          <w:kern w:val="0"/>
          <w:lang w:val="en-US"/>
          <w14:ligatures w14:val="none"/>
        </w:rPr>
      </w:pPr>
    </w:p>
    <w:p w14:paraId="15AF7765" w14:textId="5ECB6141" w:rsidR="00895DF3" w:rsidRPr="00474134" w:rsidRDefault="00895DF3" w:rsidP="00474134">
      <w:pPr>
        <w:pStyle w:val="ListParagraph"/>
        <w:numPr>
          <w:ilvl w:val="0"/>
          <w:numId w:val="1"/>
        </w:numPr>
        <w:spacing w:after="0"/>
        <w:jc w:val="both"/>
        <w:rPr>
          <w:rFonts w:ascii="Calibri" w:eastAsia="Times New Roman" w:hAnsi="Calibri" w:cs="Calibri"/>
          <w:kern w:val="0"/>
          <w:lang w:val="en-US"/>
          <w14:ligatures w14:val="none"/>
        </w:rPr>
      </w:pPr>
      <w:r w:rsidRPr="00474134">
        <w:rPr>
          <w:rFonts w:ascii="Calibri" w:eastAsia="Times New Roman" w:hAnsi="Calibri" w:cs="Calibri"/>
          <w:kern w:val="0"/>
          <w:lang w:val="en-US"/>
          <w14:ligatures w14:val="none"/>
        </w:rPr>
        <w:t>Expiry date of August 31, 2026 for 350,000 Warrants have been extended to August 31, 2027;</w:t>
      </w:r>
    </w:p>
    <w:p w14:paraId="01D9AC68" w14:textId="7116C5B8" w:rsidR="00895DF3" w:rsidRPr="00474134" w:rsidRDefault="00895DF3" w:rsidP="00474134">
      <w:pPr>
        <w:pStyle w:val="ListParagraph"/>
        <w:numPr>
          <w:ilvl w:val="0"/>
          <w:numId w:val="1"/>
        </w:numPr>
        <w:spacing w:after="0"/>
        <w:jc w:val="both"/>
        <w:rPr>
          <w:rFonts w:ascii="Calibri" w:eastAsia="Times New Roman" w:hAnsi="Calibri" w:cs="Calibri"/>
          <w:kern w:val="0"/>
          <w:lang w:val="en-US"/>
          <w14:ligatures w14:val="none"/>
        </w:rPr>
      </w:pPr>
      <w:r w:rsidRPr="00474134">
        <w:rPr>
          <w:rFonts w:ascii="Calibri" w:eastAsia="Times New Roman" w:hAnsi="Calibri" w:cs="Calibri"/>
          <w:kern w:val="0"/>
          <w:lang w:val="en-US"/>
          <w14:ligatures w14:val="none"/>
        </w:rPr>
        <w:t>Expiry date of September 27, 2026 for 7,743,342 Warrants have been extended to September 27, 2027;</w:t>
      </w:r>
    </w:p>
    <w:p w14:paraId="10635AFA" w14:textId="444EE9AB" w:rsidR="00895DF3" w:rsidRPr="00474134" w:rsidRDefault="00895DF3" w:rsidP="00474134">
      <w:pPr>
        <w:pStyle w:val="ListParagraph"/>
        <w:numPr>
          <w:ilvl w:val="0"/>
          <w:numId w:val="1"/>
        </w:numPr>
        <w:spacing w:after="0"/>
        <w:jc w:val="both"/>
        <w:rPr>
          <w:rFonts w:ascii="Calibri" w:eastAsia="Times New Roman" w:hAnsi="Calibri" w:cs="Calibri"/>
          <w:kern w:val="0"/>
          <w:lang w:val="en-US"/>
          <w14:ligatures w14:val="none"/>
        </w:rPr>
      </w:pPr>
      <w:r w:rsidRPr="00474134">
        <w:rPr>
          <w:rFonts w:ascii="Calibri" w:eastAsia="Times New Roman" w:hAnsi="Calibri" w:cs="Calibri"/>
          <w:kern w:val="0"/>
          <w:lang w:val="en-US"/>
          <w14:ligatures w14:val="none"/>
        </w:rPr>
        <w:t>Expiry date of October 1, 2026 for 4,090,904 Warrants have been extended to October 1, 2027; and</w:t>
      </w:r>
    </w:p>
    <w:p w14:paraId="693B339D" w14:textId="07BE4F87" w:rsidR="00895DF3" w:rsidRPr="00474134" w:rsidRDefault="00895DF3" w:rsidP="00474134">
      <w:pPr>
        <w:pStyle w:val="ListParagraph"/>
        <w:numPr>
          <w:ilvl w:val="0"/>
          <w:numId w:val="1"/>
        </w:numPr>
        <w:spacing w:after="0"/>
        <w:jc w:val="both"/>
        <w:rPr>
          <w:rFonts w:ascii="Calibri" w:eastAsia="Times New Roman" w:hAnsi="Calibri" w:cs="Calibri"/>
          <w:kern w:val="0"/>
          <w:lang w:val="en-US"/>
          <w14:ligatures w14:val="none"/>
        </w:rPr>
      </w:pPr>
      <w:r w:rsidRPr="00474134">
        <w:rPr>
          <w:rFonts w:ascii="Calibri" w:eastAsia="Times New Roman" w:hAnsi="Calibri" w:cs="Calibri"/>
          <w:kern w:val="0"/>
          <w:lang w:val="en-US"/>
          <w14:ligatures w14:val="none"/>
        </w:rPr>
        <w:t>Expiry date of October 29, 2026 for 416,712 Warrants have been extended to October 29, 2027.</w:t>
      </w:r>
    </w:p>
    <w:p w14:paraId="3FC74C7A" w14:textId="77777777" w:rsidR="00895DF3" w:rsidRPr="00474134" w:rsidRDefault="00895DF3" w:rsidP="00474134">
      <w:pPr>
        <w:spacing w:after="0"/>
        <w:jc w:val="both"/>
        <w:rPr>
          <w:rFonts w:ascii="Calibri" w:eastAsia="Times New Roman" w:hAnsi="Calibri" w:cs="Calibri"/>
          <w:kern w:val="0"/>
          <w:lang w:val="en-US"/>
          <w14:ligatures w14:val="none"/>
        </w:rPr>
      </w:pPr>
    </w:p>
    <w:p w14:paraId="4319F482" w14:textId="3F1997C5" w:rsidR="00895DF3" w:rsidRPr="00474134" w:rsidRDefault="00895DF3" w:rsidP="00474134">
      <w:pPr>
        <w:spacing w:after="0"/>
        <w:jc w:val="both"/>
        <w:rPr>
          <w:rFonts w:ascii="Calibri" w:eastAsia="Times New Roman" w:hAnsi="Calibri" w:cs="Calibri"/>
          <w:kern w:val="0"/>
          <w:lang w:val="en-US"/>
          <w14:ligatures w14:val="none"/>
        </w:rPr>
      </w:pPr>
      <w:r w:rsidRPr="00474134">
        <w:rPr>
          <w:rFonts w:ascii="Calibri" w:eastAsia="Times New Roman" w:hAnsi="Calibri" w:cs="Calibri"/>
          <w:kern w:val="0"/>
          <w:lang w:val="en-US"/>
          <w14:ligatures w14:val="none"/>
        </w:rPr>
        <w:t>In addition, 1,750,000 Warrants with original exercise price of $0.13 per unit and expiry of July 1, 2026, granted pursuant to a private placement in July 2024, have been extended to July 1, 2027.</w:t>
      </w:r>
    </w:p>
    <w:p w14:paraId="38E5B45D" w14:textId="77777777" w:rsidR="00895DF3" w:rsidRPr="00474134" w:rsidRDefault="00895DF3" w:rsidP="00474134">
      <w:pPr>
        <w:spacing w:after="0"/>
        <w:jc w:val="both"/>
        <w:rPr>
          <w:rFonts w:ascii="Calibri" w:eastAsia="Times New Roman" w:hAnsi="Calibri" w:cs="Calibri"/>
          <w:kern w:val="0"/>
          <w:lang w:val="en-US"/>
          <w14:ligatures w14:val="none"/>
        </w:rPr>
      </w:pPr>
    </w:p>
    <w:p w14:paraId="78706D46" w14:textId="50CD3DCA" w:rsidR="00895DF3" w:rsidRPr="00474134" w:rsidRDefault="00895DF3" w:rsidP="00474134">
      <w:pPr>
        <w:spacing w:after="0"/>
        <w:jc w:val="both"/>
        <w:rPr>
          <w:rFonts w:ascii="Calibri" w:eastAsia="Times New Roman" w:hAnsi="Calibri" w:cs="Calibri"/>
          <w:color w:val="1D2228"/>
          <w:lang w:eastAsia="en-GB"/>
        </w:rPr>
      </w:pPr>
      <w:bookmarkStart w:id="0" w:name="_Hlk152150532"/>
      <w:r w:rsidRPr="00474134">
        <w:rPr>
          <w:rFonts w:ascii="Calibri" w:eastAsia="Times New Roman" w:hAnsi="Calibri" w:cs="Calibri"/>
          <w:color w:val="1D2228"/>
          <w:lang w:eastAsia="en-GB"/>
        </w:rPr>
        <w:t>The Company will not issue new warrant certificates in connection with the forementioned amendment.  Previously issued warrant certificates remain valid and enforceable until the amended expiry date</w:t>
      </w:r>
      <w:r w:rsidR="0041428A" w:rsidRPr="00474134">
        <w:rPr>
          <w:rFonts w:ascii="Calibri" w:eastAsia="Times New Roman" w:hAnsi="Calibri" w:cs="Calibri"/>
          <w:color w:val="1D2228"/>
          <w:lang w:eastAsia="en-GB"/>
        </w:rPr>
        <w:t>s as noted above</w:t>
      </w:r>
      <w:r w:rsidRPr="00474134">
        <w:rPr>
          <w:rFonts w:ascii="Calibri" w:eastAsia="Times New Roman" w:hAnsi="Calibri" w:cs="Calibri"/>
          <w:color w:val="1D2228"/>
          <w:lang w:eastAsia="en-GB"/>
        </w:rPr>
        <w:t>.  Warrantholders may exercise their warrants by returning a completed subscription notice/form (included with the warrant certificate), the original warrant certificate and payment by bank draft (made payable to “BetterLife Pharma Inc.”) to the Company at:  BetterLife Pharma Inc., 1275 West 6</w:t>
      </w:r>
      <w:r w:rsidRPr="00474134">
        <w:rPr>
          <w:rFonts w:ascii="Calibri" w:eastAsia="Times New Roman" w:hAnsi="Calibri" w:cs="Calibri"/>
          <w:color w:val="1D2228"/>
          <w:vertAlign w:val="superscript"/>
          <w:lang w:eastAsia="en-GB"/>
        </w:rPr>
        <w:t>th</w:t>
      </w:r>
      <w:r w:rsidRPr="00474134">
        <w:rPr>
          <w:rFonts w:ascii="Calibri" w:eastAsia="Times New Roman" w:hAnsi="Calibri" w:cs="Calibri"/>
          <w:color w:val="1D2228"/>
          <w:lang w:eastAsia="en-GB"/>
        </w:rPr>
        <w:t xml:space="preserve"> Avenue, #300, Vancouver, BC, V6H 1A6 (Attention: Dr. Ahmad Doroudian).  For warrant exercises that will be paid by wire transfer or any questions related to the warrants, please contact </w:t>
      </w:r>
      <w:hyperlink r:id="rId9" w:history="1">
        <w:r w:rsidR="00474134" w:rsidRPr="00474134">
          <w:rPr>
            <w:rStyle w:val="Hyperlink"/>
            <w:rFonts w:ascii="Calibri" w:eastAsia="Times New Roman" w:hAnsi="Calibri" w:cs="Calibri"/>
            <w:lang w:eastAsia="en-GB"/>
          </w:rPr>
          <w:t>Info@BlifePharma.com</w:t>
        </w:r>
      </w:hyperlink>
      <w:r w:rsidRPr="00474134">
        <w:rPr>
          <w:rFonts w:ascii="Calibri" w:eastAsia="Times New Roman" w:hAnsi="Calibri" w:cs="Calibri"/>
          <w:color w:val="1D2228"/>
          <w:lang w:eastAsia="en-GB"/>
        </w:rPr>
        <w:t>.</w:t>
      </w:r>
      <w:bookmarkEnd w:id="0"/>
    </w:p>
    <w:p w14:paraId="1AF8E8FB" w14:textId="77777777" w:rsidR="0041428A" w:rsidRPr="00474134" w:rsidRDefault="0041428A" w:rsidP="00474134">
      <w:pPr>
        <w:spacing w:after="0"/>
        <w:jc w:val="both"/>
        <w:rPr>
          <w:rFonts w:ascii="Calibri" w:eastAsia="Times New Roman" w:hAnsi="Calibri" w:cs="Calibri"/>
          <w:color w:val="1D2228"/>
          <w:lang w:eastAsia="en-GB"/>
        </w:rPr>
      </w:pPr>
    </w:p>
    <w:p w14:paraId="51DEF3FE" w14:textId="7A699EB2" w:rsidR="0041428A" w:rsidRPr="00474134" w:rsidRDefault="0041428A" w:rsidP="00474134">
      <w:pPr>
        <w:spacing w:after="0"/>
        <w:jc w:val="both"/>
        <w:rPr>
          <w:rFonts w:ascii="Calibri" w:eastAsia="Times New Roman" w:hAnsi="Calibri" w:cs="Calibri"/>
          <w:color w:val="1D2228"/>
          <w:lang w:eastAsia="en-GB"/>
        </w:rPr>
      </w:pPr>
      <w:r w:rsidRPr="00474134">
        <w:rPr>
          <w:rFonts w:ascii="Calibri" w:eastAsia="Times New Roman" w:hAnsi="Calibri" w:cs="Calibri"/>
          <w:color w:val="1D2228"/>
          <w:lang w:eastAsia="en-GB"/>
        </w:rPr>
        <w:t xml:space="preserve">Of the Warrants with original expiry date of September 27, 2026 being amended, 2,041,644 Warrants are held by directors and an officer (“Related Parties”) and therefore related parties of the Company within the meaning of Multilateral Instrument 61-101 – Protection of Minority Security Holders in Special Transactions ("MI 61-101"). The amendment of the Warrants held by the related parties constitutes a "related party transaction" for the purposes of MI 61-101. The Company is relying on the exemptions from the formal valuation and minority shareholder approval requirements contained in Sections 5.5(a) and 5.7(1)(a) of MI 61-101, respectively, as the fair market value of the Warrants subject to the amendment </w:t>
      </w:r>
      <w:r w:rsidRPr="00474134">
        <w:rPr>
          <w:rFonts w:ascii="Calibri" w:eastAsia="Times New Roman" w:hAnsi="Calibri" w:cs="Calibri"/>
          <w:color w:val="1D2228"/>
          <w:lang w:eastAsia="en-GB"/>
        </w:rPr>
        <w:lastRenderedPageBreak/>
        <w:t>insofar as it involves interested parties, do not exceed 25% of the Company's market capitalization, as determined in accordance with MI 61-101.</w:t>
      </w:r>
    </w:p>
    <w:p w14:paraId="7143263F" w14:textId="77777777" w:rsidR="0041428A" w:rsidRPr="00474134" w:rsidRDefault="0041428A" w:rsidP="00474134">
      <w:pPr>
        <w:spacing w:after="0"/>
        <w:jc w:val="both"/>
        <w:rPr>
          <w:rFonts w:ascii="Calibri" w:eastAsia="Times New Roman" w:hAnsi="Calibri" w:cs="Calibri"/>
          <w:color w:val="1D2228"/>
          <w:lang w:eastAsia="en-GB"/>
        </w:rPr>
      </w:pPr>
    </w:p>
    <w:p w14:paraId="767EBEB1" w14:textId="1C2BFAD7" w:rsidR="0041428A" w:rsidRPr="00474134" w:rsidRDefault="0041428A" w:rsidP="00474134">
      <w:pPr>
        <w:spacing w:after="0"/>
        <w:jc w:val="both"/>
        <w:rPr>
          <w:rFonts w:ascii="Calibri" w:eastAsia="Times New Roman" w:hAnsi="Calibri" w:cs="Calibri"/>
          <w:color w:val="1D2228"/>
          <w:lang w:eastAsia="en-GB"/>
        </w:rPr>
      </w:pPr>
      <w:r w:rsidRPr="00474134">
        <w:rPr>
          <w:rFonts w:ascii="Calibri" w:eastAsia="Times New Roman" w:hAnsi="Calibri" w:cs="Calibri"/>
          <w:color w:val="1D2228"/>
          <w:lang w:eastAsia="en-GB"/>
        </w:rPr>
        <w:t>The Company's board of directors reviewed and approved the warrant amendments.  The Related Parties declared their interest in the transaction and abstained from voting on the resolution approving the amendment. The Company did not file a material change report more than 21 days before the effective date of the amendment as the details of the transaction were not settled until shortly before closing and the Company wished to complete the transaction on an expedited basis for sound business reasons.</w:t>
      </w:r>
    </w:p>
    <w:p w14:paraId="3135048D" w14:textId="77777777" w:rsidR="0041428A" w:rsidRPr="00474134" w:rsidRDefault="0041428A" w:rsidP="00474134">
      <w:pPr>
        <w:spacing w:after="0"/>
        <w:jc w:val="both"/>
        <w:rPr>
          <w:rFonts w:ascii="Calibri" w:eastAsia="Times New Roman" w:hAnsi="Calibri" w:cs="Calibri"/>
          <w:color w:val="1D2228"/>
          <w:lang w:eastAsia="en-GB"/>
        </w:rPr>
      </w:pPr>
    </w:p>
    <w:p w14:paraId="7D4246D5" w14:textId="3384D87D" w:rsidR="00D53D13" w:rsidRPr="00474134" w:rsidRDefault="00D53D13" w:rsidP="00474134">
      <w:pPr>
        <w:spacing w:after="0"/>
        <w:rPr>
          <w:rFonts w:ascii="Calibri" w:hAnsi="Calibri" w:cs="Calibri"/>
          <w:b/>
          <w:bCs/>
        </w:rPr>
      </w:pPr>
      <w:r w:rsidRPr="00474134">
        <w:rPr>
          <w:rFonts w:ascii="Calibri" w:hAnsi="Calibri" w:cs="Calibri"/>
          <w:b/>
          <w:bCs/>
        </w:rPr>
        <w:t xml:space="preserve">About BetterLife Pharma </w:t>
      </w:r>
    </w:p>
    <w:p w14:paraId="72A44AAB" w14:textId="77777777" w:rsidR="00D53D13" w:rsidRPr="00474134" w:rsidRDefault="00D53D13" w:rsidP="00474134">
      <w:pPr>
        <w:spacing w:after="0"/>
        <w:rPr>
          <w:rFonts w:ascii="Calibri" w:hAnsi="Calibri" w:cs="Calibri"/>
          <w:b/>
          <w:bCs/>
        </w:rPr>
      </w:pPr>
    </w:p>
    <w:p w14:paraId="3ADEEB08" w14:textId="0317BF41" w:rsidR="00D53D13" w:rsidRPr="00474134" w:rsidRDefault="00D53D13" w:rsidP="00474134">
      <w:pPr>
        <w:shd w:val="clear" w:color="auto" w:fill="FFFFFF"/>
        <w:spacing w:after="0"/>
        <w:jc w:val="both"/>
        <w:rPr>
          <w:rFonts w:ascii="Calibri" w:eastAsia="Times New Roman" w:hAnsi="Calibri" w:cs="Calibri"/>
          <w:color w:val="1D2228"/>
          <w:lang w:eastAsia="en-GB"/>
        </w:rPr>
      </w:pPr>
      <w:bookmarkStart w:id="1" w:name="_Hlk61966932"/>
      <w:r w:rsidRPr="00474134">
        <w:rPr>
          <w:rFonts w:ascii="Calibri" w:eastAsia="Times New Roman" w:hAnsi="Calibri" w:cs="Calibri"/>
          <w:color w:val="1D2228"/>
          <w:lang w:eastAsia="en-GB"/>
        </w:rPr>
        <w:t>BetterLife Pharma Inc. is a</w:t>
      </w:r>
      <w:r w:rsidR="0070651A" w:rsidRPr="00474134">
        <w:rPr>
          <w:rFonts w:ascii="Calibri" w:eastAsia="Times New Roman" w:hAnsi="Calibri" w:cs="Calibri"/>
          <w:color w:val="1D2228"/>
          <w:lang w:eastAsia="en-GB"/>
        </w:rPr>
        <w:t xml:space="preserve"> biotechnology company developing compounds for the treatment of neurological and neuro-psychiatric disorders. Its lead candidate, BETR-001, is a non-hallucinogenic LSD-derivative molecule in preclinical development</w:t>
      </w:r>
      <w:r w:rsidRPr="00474134">
        <w:rPr>
          <w:rFonts w:ascii="Calibri" w:eastAsia="Times New Roman" w:hAnsi="Calibri" w:cs="Calibri"/>
          <w:color w:val="1D2228"/>
          <w:lang w:eastAsia="en-GB"/>
        </w:rPr>
        <w:t>.</w:t>
      </w:r>
    </w:p>
    <w:p w14:paraId="14EB63CE" w14:textId="77777777" w:rsidR="00D53D13" w:rsidRPr="00474134" w:rsidRDefault="00D53D13" w:rsidP="00474134">
      <w:pPr>
        <w:shd w:val="clear" w:color="auto" w:fill="FFFFFF"/>
        <w:spacing w:after="0"/>
        <w:jc w:val="both"/>
        <w:rPr>
          <w:rFonts w:ascii="Calibri" w:eastAsia="Times New Roman" w:hAnsi="Calibri" w:cs="Calibri"/>
          <w:color w:val="1D2228"/>
          <w:lang w:eastAsia="en-GB"/>
        </w:rPr>
      </w:pPr>
    </w:p>
    <w:p w14:paraId="5EE944BF" w14:textId="0C58B2DA" w:rsidR="00D53D13" w:rsidRPr="00474134" w:rsidRDefault="00D53D13" w:rsidP="00474134">
      <w:pPr>
        <w:shd w:val="clear" w:color="auto" w:fill="FFFFFF"/>
        <w:spacing w:after="0"/>
        <w:jc w:val="both"/>
        <w:rPr>
          <w:rFonts w:ascii="Calibri" w:eastAsia="Times New Roman" w:hAnsi="Calibri" w:cs="Calibri"/>
          <w:color w:val="1D2228"/>
          <w:lang w:eastAsia="en-GB"/>
        </w:rPr>
      </w:pPr>
      <w:r w:rsidRPr="00474134">
        <w:rPr>
          <w:rFonts w:ascii="Calibri" w:eastAsia="Times New Roman" w:hAnsi="Calibri" w:cs="Calibri"/>
          <w:color w:val="1D2228"/>
          <w:lang w:eastAsia="en-GB"/>
        </w:rPr>
        <w:t>For further information, please visit </w:t>
      </w:r>
      <w:hyperlink r:id="rId10" w:tgtFrame="_blank" w:history="1">
        <w:r w:rsidRPr="00474134">
          <w:rPr>
            <w:rStyle w:val="Hyperlink"/>
            <w:rFonts w:ascii="Calibri" w:eastAsia="Times New Roman" w:hAnsi="Calibri" w:cs="Calibri"/>
            <w:lang w:eastAsia="en-GB"/>
          </w:rPr>
          <w:t>BetterLife Pharma</w:t>
        </w:r>
      </w:hyperlink>
      <w:r w:rsidRPr="00474134">
        <w:rPr>
          <w:rFonts w:ascii="Calibri" w:eastAsia="Times New Roman" w:hAnsi="Calibri" w:cs="Calibri"/>
          <w:color w:val="1D2228"/>
          <w:lang w:eastAsia="en-GB"/>
        </w:rPr>
        <w:t>.</w:t>
      </w:r>
    </w:p>
    <w:bookmarkEnd w:id="1"/>
    <w:p w14:paraId="35FF2D87" w14:textId="41D2194E" w:rsidR="00D53D13" w:rsidRPr="00474134" w:rsidRDefault="0070651A" w:rsidP="00474134">
      <w:pPr>
        <w:spacing w:after="0"/>
        <w:rPr>
          <w:rFonts w:ascii="Calibri" w:hAnsi="Calibri" w:cs="Calibri"/>
          <w:color w:val="333333"/>
        </w:rPr>
      </w:pPr>
      <w:r w:rsidRPr="00474134">
        <w:rPr>
          <w:rFonts w:ascii="Calibri" w:hAnsi="Calibri" w:cs="Calibri"/>
          <w:color w:val="333333"/>
        </w:rPr>
        <w:t xml:space="preserve"> </w:t>
      </w:r>
    </w:p>
    <w:p w14:paraId="38F288FA" w14:textId="082C0CC5" w:rsidR="00D53D13" w:rsidRPr="00474134" w:rsidRDefault="00D53D13" w:rsidP="00474134">
      <w:pPr>
        <w:spacing w:after="0"/>
        <w:rPr>
          <w:rFonts w:ascii="Calibri" w:eastAsia="Times New Roman" w:hAnsi="Calibri" w:cs="Calibri"/>
        </w:rPr>
      </w:pPr>
      <w:r w:rsidRPr="00474134">
        <w:rPr>
          <w:rFonts w:ascii="Calibri" w:eastAsia="Times New Roman" w:hAnsi="Calibri" w:cs="Calibri"/>
          <w:b/>
          <w:bCs/>
        </w:rPr>
        <w:t>Contact</w:t>
      </w:r>
    </w:p>
    <w:p w14:paraId="4B7DAE8B" w14:textId="7F400D93" w:rsidR="00D53D13" w:rsidRPr="00474134" w:rsidRDefault="00D53D13" w:rsidP="00474134">
      <w:pPr>
        <w:shd w:val="clear" w:color="auto" w:fill="FFFFFF"/>
        <w:spacing w:after="0"/>
        <w:rPr>
          <w:rFonts w:ascii="Calibri" w:eastAsia="Times New Roman" w:hAnsi="Calibri" w:cs="Calibri"/>
          <w:color w:val="1D2228"/>
          <w:lang w:eastAsia="en-GB"/>
        </w:rPr>
      </w:pPr>
      <w:r w:rsidRPr="00474134">
        <w:rPr>
          <w:rFonts w:ascii="Calibri" w:eastAsia="Times New Roman" w:hAnsi="Calibri" w:cs="Calibri"/>
          <w:lang w:eastAsia="en-AU"/>
        </w:rPr>
        <w:br/>
      </w:r>
      <w:r w:rsidR="00A96557" w:rsidRPr="00474134">
        <w:rPr>
          <w:rFonts w:ascii="Calibri" w:eastAsia="Times New Roman" w:hAnsi="Calibri" w:cs="Calibri"/>
          <w:color w:val="1D2228"/>
          <w:lang w:eastAsia="en-GB"/>
        </w:rPr>
        <w:t>Ahmad Doroudian, Chief Executive Officer</w:t>
      </w:r>
      <w:r w:rsidRPr="00474134">
        <w:rPr>
          <w:rFonts w:ascii="Calibri" w:eastAsia="Times New Roman" w:hAnsi="Calibri" w:cs="Calibri"/>
          <w:color w:val="1D2228"/>
          <w:lang w:eastAsia="en-GB"/>
        </w:rPr>
        <w:t xml:space="preserve"> </w:t>
      </w:r>
    </w:p>
    <w:p w14:paraId="2F9DEE87" w14:textId="7BA6588E" w:rsidR="00D53D13" w:rsidRPr="00474134" w:rsidRDefault="00D53D13" w:rsidP="00474134">
      <w:pPr>
        <w:shd w:val="clear" w:color="auto" w:fill="FFFFFF"/>
        <w:spacing w:after="0"/>
        <w:rPr>
          <w:rFonts w:ascii="Calibri" w:eastAsia="Times New Roman" w:hAnsi="Calibri" w:cs="Calibri"/>
          <w:color w:val="1D2228"/>
          <w:lang w:eastAsia="en-GB"/>
        </w:rPr>
      </w:pPr>
      <w:r w:rsidRPr="00474134">
        <w:rPr>
          <w:rFonts w:ascii="Calibri" w:eastAsia="Times New Roman" w:hAnsi="Calibri" w:cs="Calibri"/>
          <w:color w:val="1D2228"/>
          <w:lang w:eastAsia="en-GB"/>
        </w:rPr>
        <w:t xml:space="preserve">Email:  </w:t>
      </w:r>
      <w:hyperlink r:id="rId11" w:history="1">
        <w:r w:rsidR="00A96557" w:rsidRPr="00474134">
          <w:rPr>
            <w:rStyle w:val="Hyperlink"/>
            <w:rFonts w:ascii="Calibri" w:eastAsia="Times New Roman" w:hAnsi="Calibri" w:cs="Calibri"/>
            <w:lang w:eastAsia="en-GB"/>
          </w:rPr>
          <w:t>Ahmad.Doroudian@blifepharma.com</w:t>
        </w:r>
      </w:hyperlink>
      <w:r w:rsidRPr="00474134">
        <w:rPr>
          <w:rFonts w:ascii="Calibri" w:eastAsia="Times New Roman" w:hAnsi="Calibri" w:cs="Calibri"/>
          <w:color w:val="1D2228"/>
          <w:lang w:eastAsia="en-GB"/>
        </w:rPr>
        <w:t xml:space="preserve">  </w:t>
      </w:r>
    </w:p>
    <w:p w14:paraId="58D47753" w14:textId="3C9F4DC5" w:rsidR="00D53D13" w:rsidRPr="00474134" w:rsidRDefault="00D53D13" w:rsidP="00474134">
      <w:pPr>
        <w:shd w:val="clear" w:color="auto" w:fill="FFFFFF"/>
        <w:spacing w:after="0"/>
        <w:rPr>
          <w:rFonts w:ascii="Calibri" w:eastAsia="Times New Roman" w:hAnsi="Calibri" w:cs="Calibri"/>
          <w:color w:val="1D2228"/>
          <w:lang w:eastAsia="en-GB"/>
        </w:rPr>
      </w:pPr>
      <w:r w:rsidRPr="00474134">
        <w:rPr>
          <w:rFonts w:ascii="Calibri" w:eastAsia="Times New Roman" w:hAnsi="Calibri" w:cs="Calibri"/>
          <w:color w:val="1D2228"/>
          <w:lang w:eastAsia="en-GB"/>
        </w:rPr>
        <w:t>Phone: 1-</w:t>
      </w:r>
      <w:r w:rsidR="00A96557" w:rsidRPr="00474134">
        <w:rPr>
          <w:rFonts w:ascii="Calibri" w:eastAsia="Times New Roman" w:hAnsi="Calibri" w:cs="Calibri"/>
          <w:color w:val="1D2228"/>
          <w:lang w:eastAsia="en-GB"/>
        </w:rPr>
        <w:t>604-221-0595</w:t>
      </w:r>
      <w:r w:rsidRPr="00474134">
        <w:rPr>
          <w:rFonts w:ascii="Calibri" w:eastAsia="Times New Roman" w:hAnsi="Calibri" w:cs="Calibri"/>
          <w:color w:val="1D2228"/>
          <w:lang w:eastAsia="en-GB"/>
        </w:rPr>
        <w:t xml:space="preserve"> </w:t>
      </w:r>
    </w:p>
    <w:p w14:paraId="1A127CDC" w14:textId="77777777" w:rsidR="00D53D13" w:rsidRPr="00474134" w:rsidRDefault="00D53D13" w:rsidP="00474134">
      <w:pPr>
        <w:spacing w:after="0"/>
        <w:rPr>
          <w:rFonts w:ascii="Calibri" w:eastAsia="Times New Roman" w:hAnsi="Calibri" w:cs="Calibri"/>
          <w:b/>
          <w:bCs/>
        </w:rPr>
      </w:pPr>
    </w:p>
    <w:p w14:paraId="524CBD17" w14:textId="77777777" w:rsidR="00D53D13" w:rsidRPr="00474134" w:rsidRDefault="00D53D13" w:rsidP="00474134">
      <w:pPr>
        <w:spacing w:after="0"/>
        <w:rPr>
          <w:rFonts w:ascii="Calibri" w:eastAsia="Times New Roman" w:hAnsi="Calibri" w:cs="Calibri"/>
          <w:b/>
          <w:bCs/>
        </w:rPr>
      </w:pPr>
      <w:r w:rsidRPr="00474134">
        <w:rPr>
          <w:rFonts w:ascii="Calibri" w:eastAsia="Times New Roman" w:hAnsi="Calibri" w:cs="Calibri"/>
          <w:b/>
          <w:bCs/>
        </w:rPr>
        <w:t>Cautionary Note Regarding Forward-Looking Statements</w:t>
      </w:r>
    </w:p>
    <w:p w14:paraId="64FF0BE5" w14:textId="77777777" w:rsidR="00D53D13" w:rsidRPr="00474134" w:rsidRDefault="00D53D13" w:rsidP="00474134">
      <w:pPr>
        <w:spacing w:after="0"/>
        <w:rPr>
          <w:rFonts w:ascii="Calibri" w:eastAsia="Times New Roman" w:hAnsi="Calibri" w:cs="Calibri"/>
        </w:rPr>
      </w:pPr>
    </w:p>
    <w:p w14:paraId="277849A7" w14:textId="3DE1B968" w:rsidR="00D53D13" w:rsidRPr="00474134" w:rsidRDefault="00D53D13" w:rsidP="00474134">
      <w:pPr>
        <w:spacing w:after="0"/>
        <w:ind w:right="26"/>
        <w:jc w:val="both"/>
        <w:rPr>
          <w:rFonts w:ascii="Calibri" w:eastAsia="Arial" w:hAnsi="Calibri" w:cs="Calibri"/>
        </w:rPr>
      </w:pPr>
      <w:r w:rsidRPr="00474134">
        <w:rPr>
          <w:rFonts w:ascii="Calibri" w:eastAsia="Arial" w:hAnsi="Calibri" w:cs="Calibri"/>
        </w:rPr>
        <w:t xml:space="preserve">No securities exchange has reviewed nor accepts responsibility for the adequacy or accuracy of the content of this news release. This news release </w:t>
      </w:r>
      <w:r w:rsidR="00695098" w:rsidRPr="00474134">
        <w:rPr>
          <w:rFonts w:ascii="Calibri" w:eastAsia="Arial" w:hAnsi="Calibri" w:cs="Calibri"/>
        </w:rPr>
        <w:t xml:space="preserve">may </w:t>
      </w:r>
      <w:r w:rsidRPr="00474134">
        <w:rPr>
          <w:rFonts w:ascii="Calibri" w:eastAsia="Arial" w:hAnsi="Calibri" w:cs="Calibri"/>
        </w:rPr>
        <w:t>contain forward-looking statements that are not historical facts. Forward-looking statements are often identified by terms such as “will”, “may”, “should”, “anticipate”, “expects” and similar expressions. All statements other than statements of historical fact, included in this release are forward-looking statements that involve risks and uncertainties.</w:t>
      </w:r>
      <w:r w:rsidR="0070651A" w:rsidRPr="00474134">
        <w:rPr>
          <w:rFonts w:ascii="Calibri" w:eastAsia="Arial" w:hAnsi="Calibri" w:cs="Calibri"/>
        </w:rPr>
        <w:t xml:space="preserve"> These statements reflect current expectations and are subject to risks and uncertainties that could cause actual results to differ materially, including risks relating to financing, clinical and regulatory timelines and the Company's ability to continue as a going concern.</w:t>
      </w:r>
      <w:r w:rsidRPr="00474134">
        <w:rPr>
          <w:rFonts w:ascii="Calibri" w:eastAsia="Arial" w:hAnsi="Calibri" w:cs="Calibri"/>
        </w:rPr>
        <w:t xml:space="preserve"> The reader is cautioned that assumptions used in the preparation of any forward-looking information may prove to be incorrect. Events or circumstances may cause actual results to differ materially from those predicted, as a result of numerous known and unknown risks, uncertainties, and other factors, many of which are beyond the control of the Company. The reader is cautioned not to place undue reliance on any forward-looking information. Such information, although considered reasonable by management at the time of preparation, may prove to be incorrect and actual results may differ materially from those anticipated. Forward-looking statements contained in this news release are expressly qualified by this cautionary statement. The forward-looking statements contained in this news release are made as of the date of this news release.</w:t>
      </w:r>
      <w:r w:rsidR="0070651A" w:rsidRPr="00474134">
        <w:rPr>
          <w:rFonts w:ascii="Calibri" w:eastAsia="Arial" w:hAnsi="Calibri" w:cs="Calibri"/>
        </w:rPr>
        <w:t xml:space="preserve"> Additional risk factors are described in the Company's filings at www.sedarplus.ca. The Company undertakes no obligation to update these statements except as required by law.</w:t>
      </w:r>
    </w:p>
    <w:p w14:paraId="3899BF07" w14:textId="179292CA" w:rsidR="00D53D13" w:rsidRPr="00474134" w:rsidRDefault="00D53D13" w:rsidP="00474134">
      <w:pPr>
        <w:spacing w:after="0"/>
        <w:rPr>
          <w:rFonts w:ascii="Calibri" w:hAnsi="Calibri" w:cs="Calibri"/>
        </w:rPr>
      </w:pPr>
      <w:r w:rsidRPr="00474134">
        <w:rPr>
          <w:rFonts w:ascii="Calibri" w:hAnsi="Calibri" w:cs="Calibri"/>
        </w:rPr>
        <w:t xml:space="preserve"> </w:t>
      </w:r>
    </w:p>
    <w:sectPr w:rsidR="00D53D13" w:rsidRPr="00474134" w:rsidSect="00CA5F6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3117A"/>
    <w:multiLevelType w:val="hybridMultilevel"/>
    <w:tmpl w:val="54861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120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F65"/>
    <w:rsid w:val="00001812"/>
    <w:rsid w:val="00003238"/>
    <w:rsid w:val="00006EE0"/>
    <w:rsid w:val="000106AA"/>
    <w:rsid w:val="00011F0B"/>
    <w:rsid w:val="000124A5"/>
    <w:rsid w:val="00014076"/>
    <w:rsid w:val="00016D81"/>
    <w:rsid w:val="00024125"/>
    <w:rsid w:val="000501A0"/>
    <w:rsid w:val="000563E4"/>
    <w:rsid w:val="000662AA"/>
    <w:rsid w:val="00080CB1"/>
    <w:rsid w:val="000B762B"/>
    <w:rsid w:val="000C3B5B"/>
    <w:rsid w:val="000C6577"/>
    <w:rsid w:val="000E0A6E"/>
    <w:rsid w:val="000F0F95"/>
    <w:rsid w:val="000F130F"/>
    <w:rsid w:val="00101232"/>
    <w:rsid w:val="00106595"/>
    <w:rsid w:val="00110DF1"/>
    <w:rsid w:val="00114464"/>
    <w:rsid w:val="001157EE"/>
    <w:rsid w:val="00121982"/>
    <w:rsid w:val="00125398"/>
    <w:rsid w:val="00143C01"/>
    <w:rsid w:val="00145C3E"/>
    <w:rsid w:val="001729CF"/>
    <w:rsid w:val="0018338C"/>
    <w:rsid w:val="0018707E"/>
    <w:rsid w:val="00196C0C"/>
    <w:rsid w:val="001C5402"/>
    <w:rsid w:val="001D4D51"/>
    <w:rsid w:val="001E650C"/>
    <w:rsid w:val="001F6F78"/>
    <w:rsid w:val="00210E04"/>
    <w:rsid w:val="002239EF"/>
    <w:rsid w:val="00224120"/>
    <w:rsid w:val="00224292"/>
    <w:rsid w:val="002248AE"/>
    <w:rsid w:val="0023049A"/>
    <w:rsid w:val="0023622A"/>
    <w:rsid w:val="002371B1"/>
    <w:rsid w:val="002378AD"/>
    <w:rsid w:val="00243925"/>
    <w:rsid w:val="002452DE"/>
    <w:rsid w:val="0025170E"/>
    <w:rsid w:val="00252159"/>
    <w:rsid w:val="00265A9F"/>
    <w:rsid w:val="002752D5"/>
    <w:rsid w:val="00281B5C"/>
    <w:rsid w:val="0028258E"/>
    <w:rsid w:val="00287154"/>
    <w:rsid w:val="002B1D79"/>
    <w:rsid w:val="002C193D"/>
    <w:rsid w:val="002D67F4"/>
    <w:rsid w:val="002E0C5E"/>
    <w:rsid w:val="002F216B"/>
    <w:rsid w:val="002F630B"/>
    <w:rsid w:val="00300AF8"/>
    <w:rsid w:val="00310355"/>
    <w:rsid w:val="00332702"/>
    <w:rsid w:val="0035691C"/>
    <w:rsid w:val="00356949"/>
    <w:rsid w:val="00382636"/>
    <w:rsid w:val="00384EC6"/>
    <w:rsid w:val="00396C6C"/>
    <w:rsid w:val="003C7760"/>
    <w:rsid w:val="003E2C86"/>
    <w:rsid w:val="003F2711"/>
    <w:rsid w:val="003F66B8"/>
    <w:rsid w:val="00406D57"/>
    <w:rsid w:val="0041428A"/>
    <w:rsid w:val="00416123"/>
    <w:rsid w:val="00426603"/>
    <w:rsid w:val="00440CAC"/>
    <w:rsid w:val="00442A9A"/>
    <w:rsid w:val="00444C13"/>
    <w:rsid w:val="004463A8"/>
    <w:rsid w:val="004621B7"/>
    <w:rsid w:val="00462530"/>
    <w:rsid w:val="00474134"/>
    <w:rsid w:val="004763F1"/>
    <w:rsid w:val="004764B2"/>
    <w:rsid w:val="00481CAD"/>
    <w:rsid w:val="00493DCD"/>
    <w:rsid w:val="004D535F"/>
    <w:rsid w:val="00511875"/>
    <w:rsid w:val="00514D4D"/>
    <w:rsid w:val="00520B75"/>
    <w:rsid w:val="00523D9A"/>
    <w:rsid w:val="0053000C"/>
    <w:rsid w:val="00541B87"/>
    <w:rsid w:val="00550E28"/>
    <w:rsid w:val="00564EDA"/>
    <w:rsid w:val="00570429"/>
    <w:rsid w:val="005A7057"/>
    <w:rsid w:val="005F1EFE"/>
    <w:rsid w:val="00602661"/>
    <w:rsid w:val="00603A36"/>
    <w:rsid w:val="00612A49"/>
    <w:rsid w:val="00665E35"/>
    <w:rsid w:val="0067207D"/>
    <w:rsid w:val="00681013"/>
    <w:rsid w:val="00681836"/>
    <w:rsid w:val="006937E0"/>
    <w:rsid w:val="00695098"/>
    <w:rsid w:val="006A7452"/>
    <w:rsid w:val="006B55AF"/>
    <w:rsid w:val="006B5ABA"/>
    <w:rsid w:val="006C2A2B"/>
    <w:rsid w:val="006C2D97"/>
    <w:rsid w:val="006C4DB8"/>
    <w:rsid w:val="006C7048"/>
    <w:rsid w:val="0070651A"/>
    <w:rsid w:val="0071661A"/>
    <w:rsid w:val="00774800"/>
    <w:rsid w:val="00775912"/>
    <w:rsid w:val="00793CD9"/>
    <w:rsid w:val="007A2E15"/>
    <w:rsid w:val="007B0F23"/>
    <w:rsid w:val="007B4ECF"/>
    <w:rsid w:val="007B6BFC"/>
    <w:rsid w:val="00810902"/>
    <w:rsid w:val="00813B6D"/>
    <w:rsid w:val="00836C09"/>
    <w:rsid w:val="00861853"/>
    <w:rsid w:val="00870029"/>
    <w:rsid w:val="00895DF3"/>
    <w:rsid w:val="008B3BAB"/>
    <w:rsid w:val="008D573B"/>
    <w:rsid w:val="008F35FF"/>
    <w:rsid w:val="009100A5"/>
    <w:rsid w:val="0091139C"/>
    <w:rsid w:val="00911FD2"/>
    <w:rsid w:val="00913978"/>
    <w:rsid w:val="009353BA"/>
    <w:rsid w:val="00936771"/>
    <w:rsid w:val="00987A46"/>
    <w:rsid w:val="009C0461"/>
    <w:rsid w:val="009C281A"/>
    <w:rsid w:val="009C682C"/>
    <w:rsid w:val="009D6343"/>
    <w:rsid w:val="009E60C4"/>
    <w:rsid w:val="009F0289"/>
    <w:rsid w:val="00A01ACB"/>
    <w:rsid w:val="00A10FD7"/>
    <w:rsid w:val="00A54DB3"/>
    <w:rsid w:val="00A618A8"/>
    <w:rsid w:val="00A660BF"/>
    <w:rsid w:val="00A9404E"/>
    <w:rsid w:val="00A96557"/>
    <w:rsid w:val="00AB55A4"/>
    <w:rsid w:val="00AC56BE"/>
    <w:rsid w:val="00AD1B2D"/>
    <w:rsid w:val="00AE16DC"/>
    <w:rsid w:val="00B00637"/>
    <w:rsid w:val="00B203EB"/>
    <w:rsid w:val="00B26CD3"/>
    <w:rsid w:val="00B3670E"/>
    <w:rsid w:val="00B422B5"/>
    <w:rsid w:val="00B45DAA"/>
    <w:rsid w:val="00B46A46"/>
    <w:rsid w:val="00BA491B"/>
    <w:rsid w:val="00BB6D22"/>
    <w:rsid w:val="00BD37CC"/>
    <w:rsid w:val="00BD6643"/>
    <w:rsid w:val="00BE4225"/>
    <w:rsid w:val="00BF304F"/>
    <w:rsid w:val="00C11191"/>
    <w:rsid w:val="00C128F2"/>
    <w:rsid w:val="00C13ED8"/>
    <w:rsid w:val="00C3405C"/>
    <w:rsid w:val="00C3743D"/>
    <w:rsid w:val="00C458D5"/>
    <w:rsid w:val="00C46178"/>
    <w:rsid w:val="00C50986"/>
    <w:rsid w:val="00C83B65"/>
    <w:rsid w:val="00C856E9"/>
    <w:rsid w:val="00C85FEE"/>
    <w:rsid w:val="00C87534"/>
    <w:rsid w:val="00C87CD9"/>
    <w:rsid w:val="00CA3B1A"/>
    <w:rsid w:val="00CA5F65"/>
    <w:rsid w:val="00CB0D97"/>
    <w:rsid w:val="00CC2931"/>
    <w:rsid w:val="00CD0BCB"/>
    <w:rsid w:val="00CD223E"/>
    <w:rsid w:val="00CD6F46"/>
    <w:rsid w:val="00CE5F28"/>
    <w:rsid w:val="00D049FA"/>
    <w:rsid w:val="00D069F9"/>
    <w:rsid w:val="00D12B59"/>
    <w:rsid w:val="00D20F58"/>
    <w:rsid w:val="00D25723"/>
    <w:rsid w:val="00D27544"/>
    <w:rsid w:val="00D458AF"/>
    <w:rsid w:val="00D47E61"/>
    <w:rsid w:val="00D53D13"/>
    <w:rsid w:val="00D55752"/>
    <w:rsid w:val="00D715F2"/>
    <w:rsid w:val="00D75646"/>
    <w:rsid w:val="00D84517"/>
    <w:rsid w:val="00D948BF"/>
    <w:rsid w:val="00DA3154"/>
    <w:rsid w:val="00DD1DBA"/>
    <w:rsid w:val="00DD6665"/>
    <w:rsid w:val="00DE07B1"/>
    <w:rsid w:val="00DE68D8"/>
    <w:rsid w:val="00E12C17"/>
    <w:rsid w:val="00E15A02"/>
    <w:rsid w:val="00E160BF"/>
    <w:rsid w:val="00E1678B"/>
    <w:rsid w:val="00E36100"/>
    <w:rsid w:val="00E44F52"/>
    <w:rsid w:val="00E46594"/>
    <w:rsid w:val="00E50C4D"/>
    <w:rsid w:val="00E5186A"/>
    <w:rsid w:val="00E91099"/>
    <w:rsid w:val="00EB5A48"/>
    <w:rsid w:val="00ED688C"/>
    <w:rsid w:val="00EF555C"/>
    <w:rsid w:val="00EF56AA"/>
    <w:rsid w:val="00EF5A95"/>
    <w:rsid w:val="00F00852"/>
    <w:rsid w:val="00F10B80"/>
    <w:rsid w:val="00F26323"/>
    <w:rsid w:val="00F37607"/>
    <w:rsid w:val="00F5390A"/>
    <w:rsid w:val="00F575FA"/>
    <w:rsid w:val="00F66D86"/>
    <w:rsid w:val="00F83C16"/>
    <w:rsid w:val="00FB5301"/>
    <w:rsid w:val="00FC65E4"/>
    <w:rsid w:val="00FC68F0"/>
    <w:rsid w:val="00FD6AA4"/>
    <w:rsid w:val="00FD74BD"/>
    <w:rsid w:val="00FF1D82"/>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9C531"/>
  <w15:chartTrackingRefBased/>
  <w15:docId w15:val="{B63090E5-47C4-47B8-AA57-2B47CB253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5F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5F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5F6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5F6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A5F6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A5F6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A5F6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A5F6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A5F6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5F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5F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5F6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5F6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A5F6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A5F6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A5F6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A5F6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A5F6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A5F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5F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5F6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5F6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A5F65"/>
    <w:pPr>
      <w:spacing w:before="160"/>
      <w:jc w:val="center"/>
    </w:pPr>
    <w:rPr>
      <w:i/>
      <w:iCs/>
      <w:color w:val="404040" w:themeColor="text1" w:themeTint="BF"/>
    </w:rPr>
  </w:style>
  <w:style w:type="character" w:customStyle="1" w:styleId="QuoteChar">
    <w:name w:val="Quote Char"/>
    <w:basedOn w:val="DefaultParagraphFont"/>
    <w:link w:val="Quote"/>
    <w:uiPriority w:val="29"/>
    <w:rsid w:val="00CA5F65"/>
    <w:rPr>
      <w:i/>
      <w:iCs/>
      <w:color w:val="404040" w:themeColor="text1" w:themeTint="BF"/>
    </w:rPr>
  </w:style>
  <w:style w:type="paragraph" w:styleId="ListParagraph">
    <w:name w:val="List Paragraph"/>
    <w:basedOn w:val="Normal"/>
    <w:uiPriority w:val="34"/>
    <w:qFormat/>
    <w:rsid w:val="00CA5F65"/>
    <w:pPr>
      <w:ind w:left="720"/>
      <w:contextualSpacing/>
    </w:pPr>
  </w:style>
  <w:style w:type="character" w:styleId="IntenseEmphasis">
    <w:name w:val="Intense Emphasis"/>
    <w:basedOn w:val="DefaultParagraphFont"/>
    <w:uiPriority w:val="21"/>
    <w:qFormat/>
    <w:rsid w:val="00CA5F65"/>
    <w:rPr>
      <w:i/>
      <w:iCs/>
      <w:color w:val="0F4761" w:themeColor="accent1" w:themeShade="BF"/>
    </w:rPr>
  </w:style>
  <w:style w:type="paragraph" w:styleId="IntenseQuote">
    <w:name w:val="Intense Quote"/>
    <w:basedOn w:val="Normal"/>
    <w:next w:val="Normal"/>
    <w:link w:val="IntenseQuoteChar"/>
    <w:uiPriority w:val="30"/>
    <w:qFormat/>
    <w:rsid w:val="00CA5F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5F65"/>
    <w:rPr>
      <w:i/>
      <w:iCs/>
      <w:color w:val="0F4761" w:themeColor="accent1" w:themeShade="BF"/>
    </w:rPr>
  </w:style>
  <w:style w:type="character" w:styleId="IntenseReference">
    <w:name w:val="Intense Reference"/>
    <w:basedOn w:val="DefaultParagraphFont"/>
    <w:uiPriority w:val="32"/>
    <w:qFormat/>
    <w:rsid w:val="00CA5F65"/>
    <w:rPr>
      <w:b/>
      <w:bCs/>
      <w:smallCaps/>
      <w:color w:val="0F4761" w:themeColor="accent1" w:themeShade="BF"/>
      <w:spacing w:val="5"/>
    </w:rPr>
  </w:style>
  <w:style w:type="paragraph" w:styleId="Revision">
    <w:name w:val="Revision"/>
    <w:hidden/>
    <w:uiPriority w:val="99"/>
    <w:semiHidden/>
    <w:rsid w:val="00523D9A"/>
    <w:pPr>
      <w:spacing w:after="0" w:line="240" w:lineRule="auto"/>
    </w:pPr>
  </w:style>
  <w:style w:type="character" w:styleId="Hyperlink">
    <w:name w:val="Hyperlink"/>
    <w:basedOn w:val="DefaultParagraphFont"/>
    <w:uiPriority w:val="99"/>
    <w:unhideWhenUsed/>
    <w:rsid w:val="00D53D13"/>
    <w:rPr>
      <w:color w:val="467886" w:themeColor="hyperlink"/>
      <w:u w:val="single"/>
    </w:rPr>
  </w:style>
  <w:style w:type="character" w:styleId="UnresolvedMention">
    <w:name w:val="Unresolved Mention"/>
    <w:basedOn w:val="DefaultParagraphFont"/>
    <w:uiPriority w:val="99"/>
    <w:semiHidden/>
    <w:unhideWhenUsed/>
    <w:rsid w:val="00E44F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erse-frankfurt.de/equity/betterlife-pharma-inc-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otcmarkets.com/stock/BETRF/overview"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hecse.com/listings/betterlife-pharma-inc/" TargetMode="External"/><Relationship Id="rId11" Type="http://schemas.openxmlformats.org/officeDocument/2006/relationships/hyperlink" Target="mailto:Ahmad.Doroudian@blifepharma.com" TargetMode="External"/><Relationship Id="rId5" Type="http://schemas.openxmlformats.org/officeDocument/2006/relationships/image" Target="media/image1.png"/><Relationship Id="rId10" Type="http://schemas.openxmlformats.org/officeDocument/2006/relationships/hyperlink" Target="https://www.globenewswire.com/Tracker?data=aU25jKqlDtamK6fS95JrlZnvnDahU-0FIrIgpdkXhxSzq-YVTXjKjYqyhrU3NKGjLQBYb9b5cS1eRQoTGOWIih5wfldnHfGml0zwzO0SvLk=" TargetMode="External"/><Relationship Id="rId4" Type="http://schemas.openxmlformats.org/officeDocument/2006/relationships/webSettings" Target="webSettings.xml"/><Relationship Id="rId9" Type="http://schemas.openxmlformats.org/officeDocument/2006/relationships/hyperlink" Target="mailto:Info@BlifePharm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2</Pages>
  <Words>888</Words>
  <Characters>5066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 Beaudry</dc:creator>
  <cp:keywords/>
  <dc:description/>
  <cp:lastModifiedBy>Moira Ong</cp:lastModifiedBy>
  <cp:revision>10</cp:revision>
  <cp:lastPrinted>2025-03-28T11:11:00Z</cp:lastPrinted>
  <dcterms:created xsi:type="dcterms:W3CDTF">2026-05-11T20:28:00Z</dcterms:created>
  <dcterms:modified xsi:type="dcterms:W3CDTF">2026-06-17T17:30:00Z</dcterms:modified>
</cp:coreProperties>
</file>