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20734" w14:textId="77777777" w:rsidR="00D53D13" w:rsidRDefault="00D53D13" w:rsidP="00D53D13">
      <w:r>
        <w:rPr>
          <w:noProof/>
        </w:rPr>
        <w:drawing>
          <wp:inline distT="0" distB="0" distL="0" distR="0" wp14:anchorId="5AF269F9" wp14:editId="20D86746">
            <wp:extent cx="2722458" cy="749300"/>
            <wp:effectExtent l="0" t="0" r="0" b="0"/>
            <wp:docPr id="1" name="Picture 1" descr="A picture containing object, clock, monito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mpdost2.png"/>
                    <pic:cNvPicPr/>
                  </pic:nvPicPr>
                  <pic:blipFill>
                    <a:blip r:embed="rId4">
                      <a:extLst>
                        <a:ext uri="{28A0092B-C50C-407E-A947-70E740481C1C}">
                          <a14:useLocalDpi xmlns:a14="http://schemas.microsoft.com/office/drawing/2010/main" val="0"/>
                        </a:ext>
                      </a:extLst>
                    </a:blip>
                    <a:stretch>
                      <a:fillRect/>
                    </a:stretch>
                  </pic:blipFill>
                  <pic:spPr>
                    <a:xfrm>
                      <a:off x="0" y="0"/>
                      <a:ext cx="2774463" cy="763613"/>
                    </a:xfrm>
                    <a:prstGeom prst="rect">
                      <a:avLst/>
                    </a:prstGeom>
                  </pic:spPr>
                </pic:pic>
              </a:graphicData>
            </a:graphic>
          </wp:inline>
        </w:drawing>
      </w:r>
    </w:p>
    <w:p w14:paraId="754B0B03" w14:textId="7CC58FFC" w:rsidR="00D53D13" w:rsidRPr="00681836" w:rsidRDefault="00D53D13" w:rsidP="0070651A">
      <w:pPr>
        <w:shd w:val="clear" w:color="auto" w:fill="FFFFFF"/>
        <w:spacing w:after="0" w:line="540" w:lineRule="atLeast"/>
        <w:ind w:left="540" w:right="540"/>
        <w:jc w:val="center"/>
        <w:outlineLvl w:val="0"/>
        <w:rPr>
          <w:rFonts w:eastAsia="Times New Roman" w:cstheme="minorHAnsi"/>
          <w:color w:val="2F5496"/>
          <w:kern w:val="36"/>
          <w:sz w:val="36"/>
          <w:szCs w:val="36"/>
          <w:lang w:val="en-GB" w:eastAsia="en-GB"/>
        </w:rPr>
      </w:pPr>
      <w:r w:rsidRPr="00681836">
        <w:rPr>
          <w:rFonts w:eastAsia="Times New Roman" w:cstheme="minorHAnsi"/>
          <w:color w:val="2F5496"/>
          <w:kern w:val="36"/>
          <w:sz w:val="36"/>
          <w:szCs w:val="36"/>
          <w:lang w:val="en-GB" w:eastAsia="en-GB"/>
        </w:rPr>
        <w:t xml:space="preserve">BetterLife Pharma </w:t>
      </w:r>
      <w:r w:rsidR="0070651A" w:rsidRPr="0070651A">
        <w:rPr>
          <w:rFonts w:eastAsia="Times New Roman" w:cstheme="minorHAnsi"/>
          <w:color w:val="2F5496"/>
          <w:kern w:val="36"/>
          <w:sz w:val="36"/>
          <w:szCs w:val="36"/>
          <w:lang w:val="en-GB" w:eastAsia="en-GB"/>
        </w:rPr>
        <w:t>Announces Intent to Complete CAD $2 Million in Convertible Debenture to Complete BETR-001 IND Filing</w:t>
      </w:r>
    </w:p>
    <w:p w14:paraId="64FC7638" w14:textId="77777777" w:rsidR="00D53D13" w:rsidRDefault="00D53D13" w:rsidP="00CA5F65">
      <w:pPr>
        <w:spacing w:after="0"/>
        <w:jc w:val="both"/>
        <w:rPr>
          <w:rFonts w:ascii="Calibri" w:eastAsia="Times New Roman" w:hAnsi="Calibri" w:cs="Aptos"/>
          <w:kern w:val="0"/>
          <w:lang w:val="en-US"/>
          <w14:ligatures w14:val="none"/>
        </w:rPr>
      </w:pPr>
    </w:p>
    <w:p w14:paraId="47203EDC" w14:textId="77777777" w:rsidR="00D53D13" w:rsidRDefault="00D53D13" w:rsidP="00CA5F65">
      <w:pPr>
        <w:spacing w:after="0"/>
        <w:jc w:val="both"/>
        <w:rPr>
          <w:rFonts w:ascii="Calibri" w:eastAsia="Times New Roman" w:hAnsi="Calibri" w:cs="Aptos"/>
          <w:kern w:val="0"/>
          <w:lang w:val="en-US"/>
          <w14:ligatures w14:val="none"/>
        </w:rPr>
      </w:pPr>
    </w:p>
    <w:p w14:paraId="19FD3914" w14:textId="0CCB685F" w:rsidR="00EF5A95" w:rsidRDefault="00310355" w:rsidP="00EF5A95">
      <w:pPr>
        <w:spacing w:after="0"/>
        <w:jc w:val="both"/>
        <w:rPr>
          <w:rFonts w:ascii="Calibri" w:eastAsia="Times New Roman" w:hAnsi="Calibri" w:cs="Aptos"/>
          <w:kern w:val="0"/>
          <w:lang w:val="en-US"/>
          <w14:ligatures w14:val="none"/>
        </w:rPr>
      </w:pPr>
      <w:r w:rsidRPr="00310355">
        <w:rPr>
          <w:rFonts w:ascii="Calibri" w:eastAsia="Times New Roman" w:hAnsi="Calibri" w:cs="Aptos"/>
          <w:kern w:val="0"/>
          <w:lang w:val="en-US"/>
          <w14:ligatures w14:val="none"/>
        </w:rPr>
        <w:t xml:space="preserve">VANCOUVER, British Columbia, </w:t>
      </w:r>
      <w:r w:rsidR="0070651A">
        <w:rPr>
          <w:rFonts w:ascii="Calibri" w:eastAsia="Times New Roman" w:hAnsi="Calibri" w:cs="Aptos"/>
          <w:kern w:val="0"/>
          <w:lang w:val="en-US"/>
          <w14:ligatures w14:val="none"/>
        </w:rPr>
        <w:t>June 1</w:t>
      </w:r>
      <w:r w:rsidR="000B762B">
        <w:rPr>
          <w:rFonts w:ascii="Calibri" w:eastAsia="Times New Roman" w:hAnsi="Calibri" w:cs="Aptos"/>
          <w:kern w:val="0"/>
          <w:lang w:val="en-US"/>
          <w14:ligatures w14:val="none"/>
        </w:rPr>
        <w:t>5</w:t>
      </w:r>
      <w:r w:rsidR="00BF304F">
        <w:rPr>
          <w:rFonts w:ascii="Calibri" w:eastAsia="Times New Roman" w:hAnsi="Calibri" w:cs="Aptos"/>
          <w:kern w:val="0"/>
          <w:lang w:val="en-US"/>
          <w14:ligatures w14:val="none"/>
        </w:rPr>
        <w:t>, 2026</w:t>
      </w:r>
      <w:r w:rsidRPr="00310355">
        <w:rPr>
          <w:rFonts w:ascii="Calibri" w:eastAsia="Times New Roman" w:hAnsi="Calibri" w:cs="Aptos"/>
          <w:kern w:val="0"/>
          <w:lang w:val="en-US"/>
          <w14:ligatures w14:val="none"/>
        </w:rPr>
        <w:t xml:space="preserve"> </w:t>
      </w:r>
      <w:r>
        <w:rPr>
          <w:rFonts w:ascii="Calibri" w:eastAsia="Times New Roman" w:hAnsi="Calibri" w:cs="Aptos"/>
          <w:kern w:val="0"/>
          <w:lang w:val="en-US"/>
          <w14:ligatures w14:val="none"/>
        </w:rPr>
        <w:t xml:space="preserve">- </w:t>
      </w:r>
      <w:r w:rsidR="00CA5F65" w:rsidRPr="00CA5F65">
        <w:rPr>
          <w:rFonts w:ascii="Calibri" w:eastAsia="Times New Roman" w:hAnsi="Calibri" w:cs="Aptos"/>
          <w:kern w:val="0"/>
          <w:lang w:val="en-US"/>
          <w14:ligatures w14:val="none"/>
        </w:rPr>
        <w:t>BetterLife Pharma Inc. (“BetterLife” or the “Compa</w:t>
      </w:r>
      <w:r w:rsidR="00CA5F65" w:rsidRPr="00D53D13">
        <w:rPr>
          <w:rFonts w:ascii="Calibri" w:eastAsia="Times New Roman" w:hAnsi="Calibri" w:cs="Calibri"/>
          <w:kern w:val="0"/>
          <w:lang w:val="en-US"/>
          <w14:ligatures w14:val="none"/>
        </w:rPr>
        <w:t xml:space="preserve">ny”) </w:t>
      </w:r>
      <w:r w:rsidR="00D53D13" w:rsidRPr="00D53D13">
        <w:rPr>
          <w:rFonts w:ascii="Calibri" w:hAnsi="Calibri" w:cs="Calibri"/>
        </w:rPr>
        <w:t>(</w:t>
      </w:r>
      <w:hyperlink r:id="rId5" w:history="1">
        <w:r w:rsidR="00D53D13" w:rsidRPr="00D53D13">
          <w:rPr>
            <w:rStyle w:val="Hyperlink"/>
            <w:rFonts w:ascii="Calibri" w:hAnsi="Calibri" w:cs="Calibri"/>
          </w:rPr>
          <w:t>CSE: BETR</w:t>
        </w:r>
      </w:hyperlink>
      <w:r w:rsidR="00D53D13" w:rsidRPr="00D53D13">
        <w:rPr>
          <w:rFonts w:ascii="Calibri" w:hAnsi="Calibri" w:cs="Calibri"/>
        </w:rPr>
        <w:t xml:space="preserve"> / </w:t>
      </w:r>
      <w:hyperlink r:id="rId6" w:history="1">
        <w:r w:rsidR="00D53D13" w:rsidRPr="00D53D13">
          <w:rPr>
            <w:rStyle w:val="Hyperlink"/>
            <w:rFonts w:ascii="Calibri" w:hAnsi="Calibri" w:cs="Calibri"/>
          </w:rPr>
          <w:t>OTCQB: BETRF</w:t>
        </w:r>
      </w:hyperlink>
      <w:r w:rsidR="00D53D13" w:rsidRPr="00D53D13">
        <w:rPr>
          <w:rFonts w:ascii="Calibri" w:hAnsi="Calibri" w:cs="Calibri"/>
        </w:rPr>
        <w:t xml:space="preserve"> / FRA: </w:t>
      </w:r>
      <w:hyperlink r:id="rId7" w:history="1">
        <w:r w:rsidR="00D53D13" w:rsidRPr="00D53D13">
          <w:rPr>
            <w:rStyle w:val="Hyperlink"/>
            <w:rFonts w:ascii="Calibri" w:hAnsi="Calibri" w:cs="Calibri"/>
          </w:rPr>
          <w:t>NPAU</w:t>
        </w:r>
      </w:hyperlink>
      <w:r w:rsidR="00D53D13" w:rsidRPr="00D53D13">
        <w:rPr>
          <w:rFonts w:ascii="Calibri" w:hAnsi="Calibri" w:cs="Calibri"/>
        </w:rPr>
        <w:t>)</w:t>
      </w:r>
      <w:r w:rsidR="00CA5F65" w:rsidRPr="00CA5F65">
        <w:rPr>
          <w:rFonts w:ascii="Calibri" w:eastAsia="Times New Roman" w:hAnsi="Calibri" w:cs="Aptos"/>
          <w:kern w:val="0"/>
          <w:lang w:val="en-US"/>
          <w14:ligatures w14:val="none"/>
        </w:rPr>
        <w:t xml:space="preserve"> </w:t>
      </w:r>
      <w:r w:rsidR="0070651A" w:rsidRPr="0070651A">
        <w:rPr>
          <w:rFonts w:ascii="Calibri" w:eastAsia="Times New Roman" w:hAnsi="Calibri" w:cs="Aptos"/>
          <w:kern w:val="0"/>
          <w:lang w:val="en-US"/>
          <w14:ligatures w14:val="none"/>
        </w:rPr>
        <w:t>announces it intends to close a CAD $2,000,000 convertible debenture (“Debenture”) non-brokered private placement financing (“Financing”). The capital will fund IND-enabling work on the Company's lead candidate, BETR-001, as BetterLife sharpens its focus on neurological pain indications, with an initial emphasis on cluster headache and migraine</w:t>
      </w:r>
      <w:r w:rsidR="00EF5A95" w:rsidRPr="00EF5A95">
        <w:rPr>
          <w:rFonts w:ascii="Calibri" w:eastAsia="Times New Roman" w:hAnsi="Calibri" w:cs="Aptos"/>
          <w:kern w:val="0"/>
          <w:lang w:val="en-US"/>
          <w14:ligatures w14:val="none"/>
        </w:rPr>
        <w:t>.</w:t>
      </w:r>
      <w:r w:rsidR="00EF5A95">
        <w:rPr>
          <w:rFonts w:ascii="Calibri" w:eastAsia="Times New Roman" w:hAnsi="Calibri" w:cs="Aptos"/>
          <w:kern w:val="0"/>
          <w:lang w:val="en-US"/>
          <w14:ligatures w14:val="none"/>
        </w:rPr>
        <w:t xml:space="preserve">  </w:t>
      </w:r>
    </w:p>
    <w:p w14:paraId="26243637" w14:textId="77777777" w:rsidR="00EF5A95" w:rsidRDefault="00EF5A95" w:rsidP="00EF5A95">
      <w:pPr>
        <w:spacing w:after="0"/>
        <w:jc w:val="both"/>
        <w:rPr>
          <w:rFonts w:ascii="Calibri" w:eastAsia="Times New Roman" w:hAnsi="Calibri" w:cs="Aptos"/>
          <w:kern w:val="0"/>
          <w:lang w:val="en-US"/>
          <w14:ligatures w14:val="none"/>
        </w:rPr>
      </w:pPr>
    </w:p>
    <w:p w14:paraId="501034F6" w14:textId="10AAB041" w:rsidR="0070651A" w:rsidRDefault="0070651A" w:rsidP="00EF5A95">
      <w:pPr>
        <w:spacing w:after="0"/>
        <w:jc w:val="both"/>
        <w:rPr>
          <w:rFonts w:ascii="Calibri" w:eastAsia="Times New Roman" w:hAnsi="Calibri" w:cs="Aptos"/>
          <w:kern w:val="0"/>
          <w:lang w:val="en-US"/>
          <w14:ligatures w14:val="none"/>
        </w:rPr>
      </w:pPr>
      <w:r w:rsidRPr="0070651A">
        <w:rPr>
          <w:rFonts w:ascii="Calibri" w:eastAsia="Times New Roman" w:hAnsi="Calibri" w:cs="Aptos"/>
          <w:b/>
          <w:bCs/>
          <w:kern w:val="0"/>
          <w:lang w:val="en-US"/>
          <w14:ligatures w14:val="none"/>
        </w:rPr>
        <w:t>The financing</w:t>
      </w:r>
      <w:r w:rsidRPr="0070651A">
        <w:rPr>
          <w:rFonts w:ascii="Calibri" w:eastAsia="Times New Roman" w:hAnsi="Calibri" w:cs="Aptos"/>
          <w:kern w:val="0"/>
          <w:lang w:val="en-US"/>
          <w14:ligatures w14:val="none"/>
        </w:rPr>
        <w:t xml:space="preserve">. The Debenture will carry interest of 10% per annum and will mature one year from closing. </w:t>
      </w:r>
      <w:r>
        <w:rPr>
          <w:rFonts w:ascii="Calibri" w:eastAsia="Times New Roman" w:hAnsi="Calibri" w:cs="Aptos"/>
          <w:kern w:val="0"/>
          <w:lang w:val="en-US"/>
          <w14:ligatures w14:val="none"/>
        </w:rPr>
        <w:t>P</w:t>
      </w:r>
      <w:r w:rsidRPr="0070651A">
        <w:rPr>
          <w:rFonts w:ascii="Calibri" w:eastAsia="Times New Roman" w:hAnsi="Calibri" w:cs="Aptos"/>
          <w:kern w:val="0"/>
          <w:lang w:val="en-US"/>
          <w14:ligatures w14:val="none"/>
        </w:rPr>
        <w:t xml:space="preserve">rincipal and any accrued interest may be convertible at the holder's option at CAD $0.06 per unit, with each unit comprising </w:t>
      </w:r>
      <w:r>
        <w:rPr>
          <w:rFonts w:ascii="Calibri" w:eastAsia="Times New Roman" w:hAnsi="Calibri" w:cs="Aptos"/>
          <w:kern w:val="0"/>
          <w:lang w:val="en-US"/>
          <w14:ligatures w14:val="none"/>
        </w:rPr>
        <w:t xml:space="preserve">of </w:t>
      </w:r>
      <w:r w:rsidRPr="0070651A">
        <w:rPr>
          <w:rFonts w:ascii="Calibri" w:eastAsia="Times New Roman" w:hAnsi="Calibri" w:cs="Aptos"/>
          <w:kern w:val="0"/>
          <w:lang w:val="en-US"/>
          <w14:ligatures w14:val="none"/>
        </w:rPr>
        <w:t>one common share and one share purchase warrant exercisable at CAD $0.10 for three years from issuance.</w:t>
      </w:r>
    </w:p>
    <w:p w14:paraId="1A10BFC7" w14:textId="77777777" w:rsidR="0070651A" w:rsidRDefault="0070651A" w:rsidP="00EF5A95">
      <w:pPr>
        <w:spacing w:after="0"/>
        <w:jc w:val="both"/>
        <w:rPr>
          <w:rFonts w:ascii="Calibri" w:eastAsia="Times New Roman" w:hAnsi="Calibri" w:cs="Aptos"/>
          <w:kern w:val="0"/>
          <w:lang w:val="en-US"/>
          <w14:ligatures w14:val="none"/>
        </w:rPr>
      </w:pPr>
    </w:p>
    <w:p w14:paraId="58EB182F" w14:textId="5FCADAFB" w:rsidR="0070651A" w:rsidRDefault="0070651A" w:rsidP="0070651A">
      <w:pPr>
        <w:spacing w:after="0"/>
        <w:jc w:val="both"/>
        <w:rPr>
          <w:rFonts w:ascii="Calibri" w:eastAsia="Times New Roman" w:hAnsi="Calibri" w:cs="Aptos"/>
          <w:kern w:val="0"/>
          <w:lang w:val="en-US"/>
          <w14:ligatures w14:val="none"/>
        </w:rPr>
      </w:pPr>
      <w:r w:rsidRPr="0070651A">
        <w:rPr>
          <w:rFonts w:ascii="Calibri" w:eastAsia="Times New Roman" w:hAnsi="Calibri" w:cs="Aptos"/>
          <w:b/>
          <w:bCs/>
          <w:kern w:val="0"/>
          <w:lang w:val="en-US"/>
          <w14:ligatures w14:val="none"/>
        </w:rPr>
        <w:t>Use of proceeds</w:t>
      </w:r>
      <w:r w:rsidRPr="0070651A">
        <w:rPr>
          <w:rFonts w:ascii="Calibri" w:eastAsia="Times New Roman" w:hAnsi="Calibri" w:cs="Aptos"/>
          <w:kern w:val="0"/>
          <w:lang w:val="en-US"/>
          <w14:ligatures w14:val="none"/>
        </w:rPr>
        <w:t>. Net proceeds will support completion of remaining IND-enabling activities for BETR-001</w:t>
      </w:r>
      <w:r>
        <w:rPr>
          <w:rFonts w:ascii="Calibri" w:eastAsia="Times New Roman" w:hAnsi="Calibri" w:cs="Aptos"/>
          <w:kern w:val="0"/>
          <w:lang w:val="en-US"/>
          <w14:ligatures w14:val="none"/>
        </w:rPr>
        <w:t>,</w:t>
      </w:r>
      <w:r w:rsidRPr="0070651A">
        <w:rPr>
          <w:rFonts w:ascii="Calibri" w:eastAsia="Times New Roman" w:hAnsi="Calibri" w:cs="Aptos"/>
          <w:kern w:val="0"/>
          <w:lang w:val="en-US"/>
          <w14:ligatures w14:val="none"/>
        </w:rPr>
        <w:t xml:space="preserve"> and general working capital</w:t>
      </w:r>
      <w:r>
        <w:rPr>
          <w:rFonts w:ascii="Calibri" w:eastAsia="Times New Roman" w:hAnsi="Calibri" w:cs="Aptos"/>
          <w:kern w:val="0"/>
          <w:lang w:val="en-US"/>
          <w14:ligatures w14:val="none"/>
        </w:rPr>
        <w:t>,</w:t>
      </w:r>
      <w:r w:rsidRPr="0070651A">
        <w:rPr>
          <w:rFonts w:ascii="Calibri" w:eastAsia="Times New Roman" w:hAnsi="Calibri" w:cs="Aptos"/>
          <w:kern w:val="0"/>
          <w:lang w:val="en-US"/>
          <w14:ligatures w14:val="none"/>
        </w:rPr>
        <w:t xml:space="preserve"> as the Company progresses toward an Investigational New Drug filing.</w:t>
      </w:r>
    </w:p>
    <w:p w14:paraId="1DE74771" w14:textId="77777777" w:rsidR="0070651A" w:rsidRPr="0070651A" w:rsidRDefault="0070651A" w:rsidP="0070651A">
      <w:pPr>
        <w:spacing w:after="0"/>
        <w:jc w:val="both"/>
        <w:rPr>
          <w:rFonts w:ascii="Calibri" w:eastAsia="Times New Roman" w:hAnsi="Calibri" w:cs="Aptos"/>
          <w:kern w:val="0"/>
          <w:lang w:val="en-US"/>
          <w14:ligatures w14:val="none"/>
        </w:rPr>
      </w:pPr>
    </w:p>
    <w:p w14:paraId="22F8D766" w14:textId="1BA5DBC7" w:rsidR="0070651A" w:rsidRDefault="0070651A" w:rsidP="0070651A">
      <w:pPr>
        <w:spacing w:after="0"/>
        <w:jc w:val="both"/>
        <w:rPr>
          <w:rFonts w:ascii="Calibri" w:eastAsia="Times New Roman" w:hAnsi="Calibri" w:cs="Aptos"/>
          <w:kern w:val="0"/>
          <w:lang w:val="en-US"/>
          <w14:ligatures w14:val="none"/>
        </w:rPr>
      </w:pPr>
      <w:r w:rsidRPr="0070651A">
        <w:rPr>
          <w:rFonts w:ascii="Calibri" w:eastAsia="Times New Roman" w:hAnsi="Calibri" w:cs="Aptos"/>
          <w:b/>
          <w:bCs/>
          <w:kern w:val="0"/>
          <w:lang w:val="en-US"/>
          <w14:ligatures w14:val="none"/>
        </w:rPr>
        <w:t>Pipeline</w:t>
      </w:r>
      <w:r w:rsidRPr="0070651A">
        <w:rPr>
          <w:rFonts w:ascii="Calibri" w:eastAsia="Times New Roman" w:hAnsi="Calibri" w:cs="Aptos"/>
          <w:kern w:val="0"/>
          <w:lang w:val="en-US"/>
          <w14:ligatures w14:val="none"/>
        </w:rPr>
        <w:t xml:space="preserve">. BETR-001 is a non-hallucinogenic, second-generation LSD-derivative molecule. BetterLife holds a USPTO composition-of-matter patent on BETR-001, has completed its FDA pre-IND meeting, and has completed most </w:t>
      </w:r>
      <w:r>
        <w:rPr>
          <w:rFonts w:ascii="Calibri" w:eastAsia="Times New Roman" w:hAnsi="Calibri" w:cs="Aptos"/>
          <w:kern w:val="0"/>
          <w:lang w:val="en-US"/>
          <w14:ligatures w14:val="none"/>
        </w:rPr>
        <w:t xml:space="preserve">of the </w:t>
      </w:r>
      <w:r w:rsidRPr="0070651A">
        <w:rPr>
          <w:rFonts w:ascii="Calibri" w:eastAsia="Times New Roman" w:hAnsi="Calibri" w:cs="Aptos"/>
          <w:kern w:val="0"/>
          <w:lang w:val="en-US"/>
          <w14:ligatures w14:val="none"/>
        </w:rPr>
        <w:t>required IND-enabling studies. The Company is concentrating near-term development on neurological pain, with an initial emphasis on cluster headache and migraine.</w:t>
      </w:r>
    </w:p>
    <w:p w14:paraId="59DD51B9" w14:textId="77777777" w:rsidR="0070651A" w:rsidRDefault="0070651A" w:rsidP="0070651A">
      <w:pPr>
        <w:spacing w:after="0"/>
        <w:jc w:val="both"/>
        <w:rPr>
          <w:rFonts w:ascii="Calibri" w:eastAsia="Times New Roman" w:hAnsi="Calibri" w:cs="Aptos"/>
          <w:kern w:val="0"/>
          <w:lang w:val="en-US"/>
          <w14:ligatures w14:val="none"/>
        </w:rPr>
      </w:pPr>
    </w:p>
    <w:p w14:paraId="646519FB" w14:textId="77777777" w:rsidR="0070651A" w:rsidRDefault="0070651A" w:rsidP="0070651A">
      <w:pPr>
        <w:spacing w:after="0"/>
        <w:jc w:val="both"/>
        <w:rPr>
          <w:rFonts w:ascii="Calibri" w:eastAsia="Times New Roman" w:hAnsi="Calibri" w:cs="Aptos"/>
          <w:kern w:val="0"/>
          <w:lang w:val="en-US"/>
          <w14:ligatures w14:val="none"/>
        </w:rPr>
      </w:pPr>
      <w:r w:rsidRPr="0070651A">
        <w:rPr>
          <w:rFonts w:ascii="Calibri" w:eastAsia="Times New Roman" w:hAnsi="Calibri" w:cs="Aptos"/>
          <w:kern w:val="0"/>
          <w:lang w:val="en-US"/>
          <w14:ligatures w14:val="none"/>
        </w:rPr>
        <w:t>A director and insider of the Company (the "Related Party") intends to participate in the Financing by subscribing for $2,000,000 of the Debenture.  Conversion by the Related Party will be subject to a 19.9% ownership cap absent shareholder approval. The participation of the Related Party constitutes a "related party transaction" as defined under Multilateral Instrument 61-101 – Protection of Minority Security Holders in Special Transactions ("MI 61-101"). The Company intends to rely on exemptions from the formal valuation and minority shareholder approval requirements of MI 61-101 under Sections 5.5(a) and 5.7(1)(a), respectively, as the fair market value of the transaction, insofar as it involves the Related Party, is not expected to exceed 25% of the Company’s market capitalization.</w:t>
      </w:r>
    </w:p>
    <w:p w14:paraId="0F2C8771" w14:textId="77777777" w:rsidR="0070651A" w:rsidRPr="0070651A" w:rsidRDefault="0070651A" w:rsidP="0070651A">
      <w:pPr>
        <w:spacing w:after="0"/>
        <w:jc w:val="both"/>
        <w:rPr>
          <w:rFonts w:ascii="Calibri" w:eastAsia="Times New Roman" w:hAnsi="Calibri" w:cs="Aptos"/>
          <w:kern w:val="0"/>
          <w:lang w:val="en-US"/>
          <w14:ligatures w14:val="none"/>
        </w:rPr>
      </w:pPr>
    </w:p>
    <w:p w14:paraId="64181C89" w14:textId="3F36E24A" w:rsidR="0070651A" w:rsidRDefault="0070651A" w:rsidP="0070651A">
      <w:pPr>
        <w:spacing w:after="0"/>
        <w:jc w:val="both"/>
        <w:rPr>
          <w:rFonts w:ascii="Calibri" w:eastAsia="Times New Roman" w:hAnsi="Calibri" w:cs="Aptos"/>
          <w:kern w:val="0"/>
          <w:lang w:val="en-US"/>
          <w14:ligatures w14:val="none"/>
        </w:rPr>
      </w:pPr>
      <w:r w:rsidRPr="0070651A">
        <w:rPr>
          <w:rFonts w:ascii="Calibri" w:eastAsia="Times New Roman" w:hAnsi="Calibri" w:cs="Aptos"/>
          <w:kern w:val="0"/>
          <w:lang w:val="en-US"/>
          <w14:ligatures w14:val="none"/>
        </w:rPr>
        <w:t xml:space="preserve">The Company anticipates that the Financing will close on or about </w:t>
      </w:r>
      <w:r w:rsidR="00C11191">
        <w:rPr>
          <w:rFonts w:ascii="Calibri" w:eastAsia="Times New Roman" w:hAnsi="Calibri" w:cs="Aptos"/>
          <w:kern w:val="0"/>
          <w:lang w:val="en-US"/>
          <w14:ligatures w14:val="none"/>
        </w:rPr>
        <w:t>June</w:t>
      </w:r>
      <w:r>
        <w:rPr>
          <w:rFonts w:ascii="Calibri" w:eastAsia="Times New Roman" w:hAnsi="Calibri" w:cs="Aptos"/>
          <w:kern w:val="0"/>
          <w:lang w:val="en-US"/>
          <w14:ligatures w14:val="none"/>
        </w:rPr>
        <w:t xml:space="preserve"> </w:t>
      </w:r>
      <w:r w:rsidR="00C11191">
        <w:rPr>
          <w:rFonts w:ascii="Calibri" w:eastAsia="Times New Roman" w:hAnsi="Calibri" w:cs="Aptos"/>
          <w:kern w:val="0"/>
          <w:lang w:val="en-US"/>
          <w14:ligatures w14:val="none"/>
        </w:rPr>
        <w:t>2</w:t>
      </w:r>
      <w:r>
        <w:rPr>
          <w:rFonts w:ascii="Calibri" w:eastAsia="Times New Roman" w:hAnsi="Calibri" w:cs="Aptos"/>
          <w:kern w:val="0"/>
          <w:lang w:val="en-US"/>
          <w14:ligatures w14:val="none"/>
        </w:rPr>
        <w:t>5</w:t>
      </w:r>
      <w:r w:rsidRPr="0070651A">
        <w:rPr>
          <w:rFonts w:ascii="Calibri" w:eastAsia="Times New Roman" w:hAnsi="Calibri" w:cs="Aptos"/>
          <w:kern w:val="0"/>
          <w:lang w:val="en-US"/>
          <w14:ligatures w14:val="none"/>
        </w:rPr>
        <w:t xml:space="preserve">, 2026. </w:t>
      </w:r>
      <w:r>
        <w:rPr>
          <w:rFonts w:ascii="Calibri" w:eastAsia="Times New Roman" w:hAnsi="Calibri" w:cs="Aptos"/>
          <w:kern w:val="0"/>
          <w:lang w:val="en-US"/>
          <w14:ligatures w14:val="none"/>
        </w:rPr>
        <w:t xml:space="preserve"> </w:t>
      </w:r>
      <w:r w:rsidRPr="0070651A">
        <w:rPr>
          <w:rFonts w:ascii="Calibri" w:eastAsia="Times New Roman" w:hAnsi="Calibri" w:cs="Aptos"/>
          <w:kern w:val="0"/>
          <w:lang w:val="en-US"/>
          <w14:ligatures w14:val="none"/>
        </w:rPr>
        <w:t xml:space="preserve"> All securities issued in connection with the Financing will be subject to a statutory hold period of four months and one day from the date of issuance in accordance with applicable Canadian securities laws</w:t>
      </w:r>
      <w:r w:rsidR="00C11191">
        <w:rPr>
          <w:rFonts w:ascii="Calibri" w:eastAsia="Times New Roman" w:hAnsi="Calibri" w:cs="Aptos"/>
          <w:kern w:val="0"/>
          <w:lang w:val="en-US"/>
          <w14:ligatures w14:val="none"/>
        </w:rPr>
        <w:t>.</w:t>
      </w:r>
    </w:p>
    <w:p w14:paraId="7F59502B" w14:textId="77777777" w:rsidR="0070651A" w:rsidRDefault="0070651A" w:rsidP="00EF5A95">
      <w:pPr>
        <w:spacing w:after="0"/>
        <w:jc w:val="both"/>
        <w:rPr>
          <w:rFonts w:ascii="Calibri" w:eastAsia="Times New Roman" w:hAnsi="Calibri" w:cs="Aptos"/>
          <w:kern w:val="0"/>
          <w:lang w:val="en-US"/>
          <w14:ligatures w14:val="none"/>
        </w:rPr>
      </w:pPr>
    </w:p>
    <w:p w14:paraId="7D4246D5" w14:textId="12962681" w:rsidR="00D53D13" w:rsidRPr="00D53D13" w:rsidRDefault="00D53D13" w:rsidP="00D53D13">
      <w:pPr>
        <w:spacing w:after="0"/>
        <w:rPr>
          <w:rFonts w:ascii="Calibri" w:hAnsi="Calibri" w:cs="Calibri"/>
          <w:b/>
          <w:bCs/>
        </w:rPr>
      </w:pPr>
      <w:r w:rsidRPr="00D53D13">
        <w:rPr>
          <w:rFonts w:ascii="Calibri" w:hAnsi="Calibri" w:cs="Calibri"/>
          <w:b/>
          <w:bCs/>
        </w:rPr>
        <w:lastRenderedPageBreak/>
        <w:t xml:space="preserve">About BetterLife Pharma </w:t>
      </w:r>
    </w:p>
    <w:p w14:paraId="72A44AAB" w14:textId="77777777" w:rsidR="00D53D13" w:rsidRPr="00D53D13" w:rsidRDefault="00D53D13" w:rsidP="00D53D13">
      <w:pPr>
        <w:spacing w:after="0"/>
        <w:rPr>
          <w:rFonts w:ascii="Calibri" w:hAnsi="Calibri" w:cs="Calibri"/>
          <w:b/>
          <w:bCs/>
        </w:rPr>
      </w:pPr>
    </w:p>
    <w:p w14:paraId="3ADEEB08" w14:textId="0317BF41" w:rsidR="00D53D13" w:rsidRPr="00D53D13" w:rsidRDefault="00D53D13" w:rsidP="00D53D13">
      <w:pPr>
        <w:shd w:val="clear" w:color="auto" w:fill="FFFFFF"/>
        <w:spacing w:after="0" w:line="240" w:lineRule="auto"/>
        <w:jc w:val="both"/>
        <w:rPr>
          <w:rFonts w:ascii="Calibri" w:eastAsia="Times New Roman" w:hAnsi="Calibri" w:cs="Calibri"/>
          <w:color w:val="1D2228"/>
          <w:lang w:eastAsia="en-GB"/>
        </w:rPr>
      </w:pPr>
      <w:bookmarkStart w:id="0" w:name="_Hlk61966932"/>
      <w:r w:rsidRPr="00D53D13">
        <w:rPr>
          <w:rFonts w:ascii="Calibri" w:eastAsia="Times New Roman" w:hAnsi="Calibri" w:cs="Calibri"/>
          <w:color w:val="1D2228"/>
          <w:lang w:eastAsia="en-GB"/>
        </w:rPr>
        <w:t>BetterLife Pharma Inc. is a</w:t>
      </w:r>
      <w:r w:rsidR="0070651A">
        <w:rPr>
          <w:rFonts w:ascii="Calibri" w:eastAsia="Times New Roman" w:hAnsi="Calibri" w:cs="Calibri"/>
          <w:color w:val="1D2228"/>
          <w:lang w:eastAsia="en-GB"/>
        </w:rPr>
        <w:t xml:space="preserve"> </w:t>
      </w:r>
      <w:r w:rsidR="0070651A" w:rsidRPr="0070651A">
        <w:rPr>
          <w:rFonts w:ascii="Calibri" w:eastAsia="Times New Roman" w:hAnsi="Calibri" w:cs="Calibri"/>
          <w:color w:val="1D2228"/>
          <w:lang w:eastAsia="en-GB"/>
        </w:rPr>
        <w:t>biotechnology company developing compounds for the treatment of neurological and neuro-psychiatric disorders. Its lead candidate, BETR-001, is a non-hallucinogenic LSD-derivative molecule in preclinical development</w:t>
      </w:r>
      <w:r w:rsidRPr="00D53D13">
        <w:rPr>
          <w:rFonts w:ascii="Calibri" w:eastAsia="Times New Roman" w:hAnsi="Calibri" w:cs="Calibri"/>
          <w:color w:val="1D2228"/>
          <w:lang w:eastAsia="en-GB"/>
        </w:rPr>
        <w:t>.</w:t>
      </w:r>
    </w:p>
    <w:p w14:paraId="14EB63CE" w14:textId="77777777" w:rsidR="00D53D13" w:rsidRPr="00D53D13" w:rsidRDefault="00D53D13" w:rsidP="00D53D13">
      <w:pPr>
        <w:shd w:val="clear" w:color="auto" w:fill="FFFFFF"/>
        <w:spacing w:after="0" w:line="240" w:lineRule="auto"/>
        <w:jc w:val="both"/>
        <w:rPr>
          <w:rFonts w:ascii="Calibri" w:eastAsia="Times New Roman" w:hAnsi="Calibri" w:cs="Calibri"/>
          <w:color w:val="1D2228"/>
          <w:lang w:eastAsia="en-GB"/>
        </w:rPr>
      </w:pPr>
    </w:p>
    <w:p w14:paraId="5EE944BF" w14:textId="0C58B2DA" w:rsidR="00D53D13" w:rsidRPr="00D53D13" w:rsidRDefault="00D53D13" w:rsidP="0070651A">
      <w:pPr>
        <w:shd w:val="clear" w:color="auto" w:fill="FFFFFF"/>
        <w:spacing w:after="0" w:line="240" w:lineRule="auto"/>
        <w:jc w:val="both"/>
        <w:rPr>
          <w:rFonts w:ascii="Calibri" w:eastAsia="Times New Roman" w:hAnsi="Calibri" w:cs="Calibri"/>
          <w:color w:val="1D2228"/>
          <w:lang w:eastAsia="en-GB"/>
        </w:rPr>
      </w:pPr>
      <w:r w:rsidRPr="00D53D13">
        <w:rPr>
          <w:rFonts w:ascii="Calibri" w:eastAsia="Times New Roman" w:hAnsi="Calibri" w:cs="Calibri"/>
          <w:color w:val="1D2228"/>
          <w:lang w:eastAsia="en-GB"/>
        </w:rPr>
        <w:t>For further information, please visit </w:t>
      </w:r>
      <w:hyperlink r:id="rId8" w:tgtFrame="_blank" w:history="1">
        <w:r w:rsidRPr="00D53D13">
          <w:rPr>
            <w:rStyle w:val="Hyperlink"/>
            <w:rFonts w:ascii="Calibri" w:eastAsia="Times New Roman" w:hAnsi="Calibri" w:cs="Calibri"/>
            <w:lang w:eastAsia="en-GB"/>
          </w:rPr>
          <w:t>BetterLife Pharma</w:t>
        </w:r>
      </w:hyperlink>
      <w:r w:rsidRPr="00D53D13">
        <w:rPr>
          <w:rFonts w:ascii="Calibri" w:eastAsia="Times New Roman" w:hAnsi="Calibri" w:cs="Calibri"/>
          <w:color w:val="1D2228"/>
          <w:lang w:eastAsia="en-GB"/>
        </w:rPr>
        <w:t>.</w:t>
      </w:r>
    </w:p>
    <w:bookmarkEnd w:id="0"/>
    <w:p w14:paraId="35FF2D87" w14:textId="41D2194E" w:rsidR="00D53D13" w:rsidRDefault="0070651A" w:rsidP="00D53D13">
      <w:pPr>
        <w:spacing w:after="0"/>
        <w:rPr>
          <w:rFonts w:ascii="Calibri" w:hAnsi="Calibri" w:cs="Calibri"/>
          <w:color w:val="333333"/>
        </w:rPr>
      </w:pPr>
      <w:r>
        <w:rPr>
          <w:rFonts w:ascii="Calibri" w:hAnsi="Calibri" w:cs="Calibri"/>
          <w:color w:val="333333"/>
        </w:rPr>
        <w:t xml:space="preserve"> </w:t>
      </w:r>
    </w:p>
    <w:p w14:paraId="09882BA7" w14:textId="77777777" w:rsidR="0070651A" w:rsidRPr="00D53D13" w:rsidRDefault="0070651A" w:rsidP="00D53D13">
      <w:pPr>
        <w:spacing w:after="0"/>
        <w:rPr>
          <w:rFonts w:ascii="Calibri" w:hAnsi="Calibri" w:cs="Calibri"/>
          <w:color w:val="333333"/>
        </w:rPr>
      </w:pPr>
    </w:p>
    <w:p w14:paraId="38F288FA" w14:textId="77777777" w:rsidR="00D53D13" w:rsidRPr="00D53D13" w:rsidRDefault="00D53D13" w:rsidP="00D53D13">
      <w:pPr>
        <w:spacing w:after="0" w:line="240" w:lineRule="auto"/>
        <w:rPr>
          <w:rFonts w:ascii="Calibri" w:eastAsia="Times New Roman" w:hAnsi="Calibri" w:cs="Calibri"/>
        </w:rPr>
      </w:pPr>
      <w:r w:rsidRPr="00D53D13">
        <w:rPr>
          <w:rFonts w:ascii="Calibri" w:eastAsia="Times New Roman" w:hAnsi="Calibri" w:cs="Calibri"/>
          <w:b/>
          <w:bCs/>
        </w:rPr>
        <w:t>Contact</w:t>
      </w:r>
    </w:p>
    <w:p w14:paraId="4B7DAE8B" w14:textId="7F400D93" w:rsidR="00D53D13" w:rsidRPr="00D53D13" w:rsidRDefault="00D53D13" w:rsidP="00D53D13">
      <w:pPr>
        <w:shd w:val="clear" w:color="auto" w:fill="FFFFFF"/>
        <w:spacing w:after="0" w:line="240" w:lineRule="auto"/>
        <w:rPr>
          <w:rFonts w:ascii="Calibri" w:eastAsia="Times New Roman" w:hAnsi="Calibri" w:cs="Calibri"/>
          <w:color w:val="1D2228"/>
          <w:lang w:eastAsia="en-GB"/>
        </w:rPr>
      </w:pPr>
      <w:r w:rsidRPr="00D53D13">
        <w:rPr>
          <w:rFonts w:ascii="Calibri" w:eastAsia="Times New Roman" w:hAnsi="Calibri" w:cs="Calibri"/>
          <w:lang w:eastAsia="en-AU"/>
        </w:rPr>
        <w:br/>
      </w:r>
      <w:r w:rsidR="00A96557">
        <w:rPr>
          <w:rFonts w:ascii="Calibri" w:eastAsia="Times New Roman" w:hAnsi="Calibri" w:cs="Calibri"/>
          <w:color w:val="1D2228"/>
          <w:lang w:eastAsia="en-GB"/>
        </w:rPr>
        <w:t>Ahmad Doroudian, Chief Executive Officer</w:t>
      </w:r>
      <w:r w:rsidRPr="00D53D13">
        <w:rPr>
          <w:rFonts w:ascii="Calibri" w:eastAsia="Times New Roman" w:hAnsi="Calibri" w:cs="Calibri"/>
          <w:color w:val="1D2228"/>
          <w:lang w:eastAsia="en-GB"/>
        </w:rPr>
        <w:t xml:space="preserve"> </w:t>
      </w:r>
    </w:p>
    <w:p w14:paraId="2F9DEE87" w14:textId="7BA6588E" w:rsidR="00D53D13" w:rsidRPr="00D53D13" w:rsidRDefault="00D53D13" w:rsidP="00D53D13">
      <w:pPr>
        <w:shd w:val="clear" w:color="auto" w:fill="FFFFFF"/>
        <w:spacing w:after="0" w:line="240" w:lineRule="auto"/>
        <w:rPr>
          <w:rFonts w:ascii="Calibri" w:eastAsia="Times New Roman" w:hAnsi="Calibri" w:cs="Calibri"/>
          <w:color w:val="1D2228"/>
          <w:lang w:eastAsia="en-GB"/>
        </w:rPr>
      </w:pPr>
      <w:r w:rsidRPr="00D53D13">
        <w:rPr>
          <w:rFonts w:ascii="Calibri" w:eastAsia="Times New Roman" w:hAnsi="Calibri" w:cs="Calibri"/>
          <w:color w:val="1D2228"/>
          <w:lang w:eastAsia="en-GB"/>
        </w:rPr>
        <w:t xml:space="preserve">Email:  </w:t>
      </w:r>
      <w:hyperlink r:id="rId9" w:history="1">
        <w:r w:rsidR="00A96557" w:rsidRPr="002B64C7">
          <w:rPr>
            <w:rStyle w:val="Hyperlink"/>
            <w:rFonts w:ascii="Calibri" w:eastAsia="Times New Roman" w:hAnsi="Calibri" w:cs="Calibri"/>
            <w:lang w:eastAsia="en-GB"/>
          </w:rPr>
          <w:t>Ahmad.Doroudian@blifepharma.com</w:t>
        </w:r>
      </w:hyperlink>
      <w:r w:rsidRPr="00D53D13">
        <w:rPr>
          <w:rFonts w:ascii="Calibri" w:eastAsia="Times New Roman" w:hAnsi="Calibri" w:cs="Calibri"/>
          <w:color w:val="1D2228"/>
          <w:lang w:eastAsia="en-GB"/>
        </w:rPr>
        <w:t xml:space="preserve">  </w:t>
      </w:r>
    </w:p>
    <w:p w14:paraId="58D47753" w14:textId="3C9F4DC5" w:rsidR="00D53D13" w:rsidRPr="00D53D13" w:rsidRDefault="00D53D13" w:rsidP="00D53D13">
      <w:pPr>
        <w:shd w:val="clear" w:color="auto" w:fill="FFFFFF"/>
        <w:spacing w:after="0" w:line="240" w:lineRule="auto"/>
        <w:rPr>
          <w:rFonts w:ascii="Calibri" w:eastAsia="Times New Roman" w:hAnsi="Calibri" w:cs="Calibri"/>
          <w:color w:val="1D2228"/>
          <w:lang w:eastAsia="en-GB"/>
        </w:rPr>
      </w:pPr>
      <w:r w:rsidRPr="00D53D13">
        <w:rPr>
          <w:rFonts w:ascii="Calibri" w:eastAsia="Times New Roman" w:hAnsi="Calibri" w:cs="Calibri"/>
          <w:color w:val="1D2228"/>
          <w:lang w:eastAsia="en-GB"/>
        </w:rPr>
        <w:t>Phone: 1-</w:t>
      </w:r>
      <w:r w:rsidR="00A96557">
        <w:rPr>
          <w:rFonts w:ascii="Calibri" w:eastAsia="Times New Roman" w:hAnsi="Calibri" w:cs="Calibri"/>
          <w:color w:val="1D2228"/>
          <w:lang w:eastAsia="en-GB"/>
        </w:rPr>
        <w:t>604-221-0595</w:t>
      </w:r>
      <w:r w:rsidRPr="00D53D13">
        <w:rPr>
          <w:rFonts w:ascii="Calibri" w:eastAsia="Times New Roman" w:hAnsi="Calibri" w:cs="Calibri"/>
          <w:color w:val="1D2228"/>
          <w:lang w:eastAsia="en-GB"/>
        </w:rPr>
        <w:t xml:space="preserve"> </w:t>
      </w:r>
    </w:p>
    <w:p w14:paraId="1A127CDC" w14:textId="77777777" w:rsidR="00D53D13" w:rsidRDefault="00D53D13" w:rsidP="00D53D13">
      <w:pPr>
        <w:spacing w:after="0" w:line="240" w:lineRule="auto"/>
        <w:rPr>
          <w:rFonts w:ascii="Calibri" w:eastAsia="Times New Roman" w:hAnsi="Calibri" w:cs="Calibri"/>
          <w:b/>
          <w:bCs/>
        </w:rPr>
      </w:pPr>
    </w:p>
    <w:p w14:paraId="7D3CAF16" w14:textId="77777777" w:rsidR="00570429" w:rsidRPr="00D53D13" w:rsidRDefault="00570429" w:rsidP="00D53D13">
      <w:pPr>
        <w:spacing w:after="0" w:line="240" w:lineRule="auto"/>
        <w:rPr>
          <w:rFonts w:ascii="Calibri" w:eastAsia="Times New Roman" w:hAnsi="Calibri" w:cs="Calibri"/>
          <w:b/>
          <w:bCs/>
        </w:rPr>
      </w:pPr>
    </w:p>
    <w:p w14:paraId="524CBD17" w14:textId="77777777" w:rsidR="00D53D13" w:rsidRPr="00D53D13" w:rsidRDefault="00D53D13" w:rsidP="00D53D13">
      <w:pPr>
        <w:spacing w:after="0" w:line="240" w:lineRule="auto"/>
        <w:rPr>
          <w:rFonts w:ascii="Calibri" w:eastAsia="Times New Roman" w:hAnsi="Calibri" w:cs="Calibri"/>
          <w:b/>
          <w:bCs/>
        </w:rPr>
      </w:pPr>
      <w:r w:rsidRPr="00D53D13">
        <w:rPr>
          <w:rFonts w:ascii="Calibri" w:eastAsia="Times New Roman" w:hAnsi="Calibri" w:cs="Calibri"/>
          <w:b/>
          <w:bCs/>
        </w:rPr>
        <w:t>Cautionary Note Regarding Forward-Looking Statements</w:t>
      </w:r>
    </w:p>
    <w:p w14:paraId="64FF0BE5" w14:textId="77777777" w:rsidR="00D53D13" w:rsidRPr="00D53D13" w:rsidRDefault="00D53D13" w:rsidP="00D53D13">
      <w:pPr>
        <w:spacing w:after="0" w:line="240" w:lineRule="auto"/>
        <w:rPr>
          <w:rFonts w:ascii="Calibri" w:eastAsia="Times New Roman" w:hAnsi="Calibri" w:cs="Calibri"/>
        </w:rPr>
      </w:pPr>
    </w:p>
    <w:p w14:paraId="277849A7" w14:textId="5A23AD15" w:rsidR="00D53D13" w:rsidRPr="00D53D13" w:rsidRDefault="00D53D13" w:rsidP="00D53D13">
      <w:pPr>
        <w:spacing w:after="0" w:line="240" w:lineRule="auto"/>
        <w:ind w:right="26"/>
        <w:jc w:val="both"/>
        <w:rPr>
          <w:rFonts w:ascii="Calibri" w:eastAsia="Arial" w:hAnsi="Calibri" w:cs="Calibri"/>
        </w:rPr>
      </w:pPr>
      <w:r w:rsidRPr="00D53D13">
        <w:rPr>
          <w:rFonts w:ascii="Calibri" w:eastAsia="Arial" w:hAnsi="Calibri" w:cs="Calibri"/>
        </w:rPr>
        <w:t xml:space="preserve">No securities exchange has reviewed nor accepts responsibility for the adequacy or accuracy of the content of this news release. This news release </w:t>
      </w:r>
      <w:r w:rsidR="00695098">
        <w:rPr>
          <w:rFonts w:ascii="Calibri" w:eastAsia="Arial" w:hAnsi="Calibri" w:cs="Calibri"/>
        </w:rPr>
        <w:t xml:space="preserve">may </w:t>
      </w:r>
      <w:r w:rsidRPr="00D53D13">
        <w:rPr>
          <w:rFonts w:ascii="Calibri" w:eastAsia="Arial" w:hAnsi="Calibri" w:cs="Calibri"/>
        </w:rPr>
        <w:t xml:space="preserve">contain forward-looking statements that are not historical facts. Forward-looking statements are often identified by terms such as “will”, “may”, “should”, “anticipate”, “expects” and similar expressions. All statements other than statements of historical fact, included in this release are forward-looking statements that involve risks and uncertainties. </w:t>
      </w:r>
      <w:r w:rsidR="0070651A">
        <w:rPr>
          <w:rFonts w:ascii="Calibri" w:eastAsia="Arial" w:hAnsi="Calibri" w:cs="Calibri"/>
        </w:rPr>
        <w:t xml:space="preserve">Forward looking statements include, but are not limited to, </w:t>
      </w:r>
      <w:r w:rsidR="0070651A" w:rsidRPr="0070651A">
        <w:rPr>
          <w:rFonts w:ascii="Calibri" w:eastAsia="Arial" w:hAnsi="Calibri" w:cs="Calibri"/>
        </w:rPr>
        <w:t>statements regarding use of proceeds</w:t>
      </w:r>
      <w:r w:rsidR="00C11191">
        <w:rPr>
          <w:rFonts w:ascii="Calibri" w:eastAsia="Arial" w:hAnsi="Calibri" w:cs="Calibri"/>
        </w:rPr>
        <w:t xml:space="preserve"> </w:t>
      </w:r>
      <w:r w:rsidR="0070651A" w:rsidRPr="0070651A">
        <w:rPr>
          <w:rFonts w:ascii="Calibri" w:eastAsia="Arial" w:hAnsi="Calibri" w:cs="Calibri"/>
        </w:rPr>
        <w:t>and the Company's development plans. These statements reflect current expectations and are subject to risks and uncertainties that could cause actual results to differ materially, including risks relating to financing, clinical and regulatory timelines and the Company's ability to continue as a going concern.</w:t>
      </w:r>
      <w:r w:rsidRPr="00D53D13">
        <w:rPr>
          <w:rFonts w:ascii="Calibri" w:eastAsia="Arial" w:hAnsi="Calibri" w:cs="Calibri"/>
        </w:rPr>
        <w:t xml:space="preserve"> The reader is cautioned that assumptions used in the preparation of any forward-looking information may prove to be incorrect. Events or circumstances may cause actual results to differ materially from those predicted, as a result of numerous known and unknown risks, uncertainties, and other factors, many of which are beyond the control of the Company. The reader is cautioned not to place undue reliance on any forward-looking information. Such information, although considered reasonable by management at the time of preparation, may prove to be incorrect and actual results may differ materially from those anticipated. Forward-looking statements contained in this news release are expressly qualified by this cautionary statement. The forward-looking statements contained in this news release are made as of the date of this news release.</w:t>
      </w:r>
      <w:r w:rsidR="0070651A">
        <w:rPr>
          <w:rFonts w:ascii="Calibri" w:eastAsia="Arial" w:hAnsi="Calibri" w:cs="Calibri"/>
        </w:rPr>
        <w:t xml:space="preserve"> </w:t>
      </w:r>
      <w:r w:rsidR="0070651A" w:rsidRPr="0070651A">
        <w:rPr>
          <w:rFonts w:ascii="Calibri" w:eastAsia="Arial" w:hAnsi="Calibri" w:cs="Calibri"/>
        </w:rPr>
        <w:t>Additional risk factors are described in the Company's filings at www.sedarplus.ca. The Company undertakes no obligation to update these statements except as required by law.</w:t>
      </w:r>
    </w:p>
    <w:p w14:paraId="4CAE5001" w14:textId="77777777" w:rsidR="00D53D13" w:rsidRPr="00D53D13" w:rsidRDefault="00D53D13" w:rsidP="00D53D13">
      <w:pPr>
        <w:spacing w:after="0"/>
        <w:rPr>
          <w:rFonts w:ascii="Calibri" w:hAnsi="Calibri" w:cs="Calibri"/>
        </w:rPr>
      </w:pPr>
      <w:r w:rsidRPr="00D53D13">
        <w:rPr>
          <w:rFonts w:ascii="Calibri" w:hAnsi="Calibri" w:cs="Calibri"/>
        </w:rPr>
        <w:t xml:space="preserve"> </w:t>
      </w:r>
    </w:p>
    <w:p w14:paraId="3899BF07" w14:textId="77777777" w:rsidR="00D53D13" w:rsidRPr="00D53D13" w:rsidRDefault="00D53D13" w:rsidP="00D53D13">
      <w:pPr>
        <w:spacing w:after="0"/>
        <w:rPr>
          <w:rFonts w:ascii="Calibri" w:hAnsi="Calibri" w:cs="Calibri"/>
          <w:lang w:val="en-US"/>
        </w:rPr>
      </w:pPr>
    </w:p>
    <w:sectPr w:rsidR="00D53D13" w:rsidRPr="00D53D13" w:rsidSect="00CA5F6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65"/>
    <w:rsid w:val="00001812"/>
    <w:rsid w:val="00003238"/>
    <w:rsid w:val="00006EE0"/>
    <w:rsid w:val="000106AA"/>
    <w:rsid w:val="00011F0B"/>
    <w:rsid w:val="000124A5"/>
    <w:rsid w:val="00014076"/>
    <w:rsid w:val="00016D81"/>
    <w:rsid w:val="00024125"/>
    <w:rsid w:val="000501A0"/>
    <w:rsid w:val="000563E4"/>
    <w:rsid w:val="000662AA"/>
    <w:rsid w:val="00080CB1"/>
    <w:rsid w:val="000B762B"/>
    <w:rsid w:val="000C3B5B"/>
    <w:rsid w:val="000C6577"/>
    <w:rsid w:val="000E0A6E"/>
    <w:rsid w:val="000F0F95"/>
    <w:rsid w:val="000F130F"/>
    <w:rsid w:val="00101232"/>
    <w:rsid w:val="00106595"/>
    <w:rsid w:val="00110DF1"/>
    <w:rsid w:val="00114464"/>
    <w:rsid w:val="00121982"/>
    <w:rsid w:val="00143C01"/>
    <w:rsid w:val="00145C3E"/>
    <w:rsid w:val="001729CF"/>
    <w:rsid w:val="0018338C"/>
    <w:rsid w:val="0018707E"/>
    <w:rsid w:val="00196C0C"/>
    <w:rsid w:val="001C5402"/>
    <w:rsid w:val="001D4D51"/>
    <w:rsid w:val="001E650C"/>
    <w:rsid w:val="001F6F78"/>
    <w:rsid w:val="00210E04"/>
    <w:rsid w:val="002239EF"/>
    <w:rsid w:val="00224120"/>
    <w:rsid w:val="00224292"/>
    <w:rsid w:val="002248AE"/>
    <w:rsid w:val="0023049A"/>
    <w:rsid w:val="0023622A"/>
    <w:rsid w:val="002371B1"/>
    <w:rsid w:val="002378AD"/>
    <w:rsid w:val="00243925"/>
    <w:rsid w:val="002452DE"/>
    <w:rsid w:val="0025170E"/>
    <w:rsid w:val="00252159"/>
    <w:rsid w:val="00265A9F"/>
    <w:rsid w:val="002752D5"/>
    <w:rsid w:val="00281B5C"/>
    <w:rsid w:val="0028258E"/>
    <w:rsid w:val="00287154"/>
    <w:rsid w:val="002B1D79"/>
    <w:rsid w:val="002C193D"/>
    <w:rsid w:val="002D67F4"/>
    <w:rsid w:val="002E0C5E"/>
    <w:rsid w:val="002F216B"/>
    <w:rsid w:val="002F630B"/>
    <w:rsid w:val="00300AF8"/>
    <w:rsid w:val="00310355"/>
    <w:rsid w:val="00332702"/>
    <w:rsid w:val="0035691C"/>
    <w:rsid w:val="00356949"/>
    <w:rsid w:val="00382636"/>
    <w:rsid w:val="00384EC6"/>
    <w:rsid w:val="00396C6C"/>
    <w:rsid w:val="003C7760"/>
    <w:rsid w:val="003F2711"/>
    <w:rsid w:val="003F66B8"/>
    <w:rsid w:val="00406D57"/>
    <w:rsid w:val="00416123"/>
    <w:rsid w:val="00426603"/>
    <w:rsid w:val="00440CAC"/>
    <w:rsid w:val="00442A9A"/>
    <w:rsid w:val="00444C13"/>
    <w:rsid w:val="004463A8"/>
    <w:rsid w:val="004621B7"/>
    <w:rsid w:val="00462530"/>
    <w:rsid w:val="004763F1"/>
    <w:rsid w:val="004764B2"/>
    <w:rsid w:val="00481CAD"/>
    <w:rsid w:val="00493DCD"/>
    <w:rsid w:val="004D535F"/>
    <w:rsid w:val="00511875"/>
    <w:rsid w:val="00514D4D"/>
    <w:rsid w:val="00520B75"/>
    <w:rsid w:val="00523D9A"/>
    <w:rsid w:val="0053000C"/>
    <w:rsid w:val="00541B87"/>
    <w:rsid w:val="00550E28"/>
    <w:rsid w:val="00564EDA"/>
    <w:rsid w:val="00570429"/>
    <w:rsid w:val="005A7057"/>
    <w:rsid w:val="005F1EFE"/>
    <w:rsid w:val="00602661"/>
    <w:rsid w:val="00603A36"/>
    <w:rsid w:val="00612A49"/>
    <w:rsid w:val="00665E35"/>
    <w:rsid w:val="0067207D"/>
    <w:rsid w:val="00681013"/>
    <w:rsid w:val="00681836"/>
    <w:rsid w:val="006937E0"/>
    <w:rsid w:val="00695098"/>
    <w:rsid w:val="006A7452"/>
    <w:rsid w:val="006B55AF"/>
    <w:rsid w:val="006B5ABA"/>
    <w:rsid w:val="006C2A2B"/>
    <w:rsid w:val="006C2D97"/>
    <w:rsid w:val="006C4DB8"/>
    <w:rsid w:val="006C7048"/>
    <w:rsid w:val="0070651A"/>
    <w:rsid w:val="0071661A"/>
    <w:rsid w:val="00774800"/>
    <w:rsid w:val="00775912"/>
    <w:rsid w:val="00793CD9"/>
    <w:rsid w:val="007A2E15"/>
    <w:rsid w:val="007B0F23"/>
    <w:rsid w:val="007B4ECF"/>
    <w:rsid w:val="007B6BFC"/>
    <w:rsid w:val="00810902"/>
    <w:rsid w:val="00813B6D"/>
    <w:rsid w:val="00836C09"/>
    <w:rsid w:val="00861853"/>
    <w:rsid w:val="00870029"/>
    <w:rsid w:val="008B3BAB"/>
    <w:rsid w:val="008D573B"/>
    <w:rsid w:val="008F35FF"/>
    <w:rsid w:val="009100A5"/>
    <w:rsid w:val="0091139C"/>
    <w:rsid w:val="00911FD2"/>
    <w:rsid w:val="00913978"/>
    <w:rsid w:val="009353BA"/>
    <w:rsid w:val="00936771"/>
    <w:rsid w:val="00987A46"/>
    <w:rsid w:val="009C0461"/>
    <w:rsid w:val="009C281A"/>
    <w:rsid w:val="009C682C"/>
    <w:rsid w:val="009D6343"/>
    <w:rsid w:val="009E60C4"/>
    <w:rsid w:val="00A01ACB"/>
    <w:rsid w:val="00A10FD7"/>
    <w:rsid w:val="00A54DB3"/>
    <w:rsid w:val="00A618A8"/>
    <w:rsid w:val="00A660BF"/>
    <w:rsid w:val="00A9404E"/>
    <w:rsid w:val="00A96557"/>
    <w:rsid w:val="00AB55A4"/>
    <w:rsid w:val="00AC56BE"/>
    <w:rsid w:val="00AD1B2D"/>
    <w:rsid w:val="00AE16DC"/>
    <w:rsid w:val="00B00637"/>
    <w:rsid w:val="00B203EB"/>
    <w:rsid w:val="00B26CD3"/>
    <w:rsid w:val="00B3670E"/>
    <w:rsid w:val="00B422B5"/>
    <w:rsid w:val="00B45DAA"/>
    <w:rsid w:val="00B46A46"/>
    <w:rsid w:val="00BA491B"/>
    <w:rsid w:val="00BB6D22"/>
    <w:rsid w:val="00BD37CC"/>
    <w:rsid w:val="00BD6643"/>
    <w:rsid w:val="00BE4225"/>
    <w:rsid w:val="00BF304F"/>
    <w:rsid w:val="00C11191"/>
    <w:rsid w:val="00C128F2"/>
    <w:rsid w:val="00C13ED8"/>
    <w:rsid w:val="00C3405C"/>
    <w:rsid w:val="00C3743D"/>
    <w:rsid w:val="00C458D5"/>
    <w:rsid w:val="00C46178"/>
    <w:rsid w:val="00C50986"/>
    <w:rsid w:val="00C83B65"/>
    <w:rsid w:val="00C856E9"/>
    <w:rsid w:val="00C85FEE"/>
    <w:rsid w:val="00C87534"/>
    <w:rsid w:val="00C87CD9"/>
    <w:rsid w:val="00CA3B1A"/>
    <w:rsid w:val="00CA5F65"/>
    <w:rsid w:val="00CB0D97"/>
    <w:rsid w:val="00CC2931"/>
    <w:rsid w:val="00CD0BCB"/>
    <w:rsid w:val="00CD223E"/>
    <w:rsid w:val="00CD6F46"/>
    <w:rsid w:val="00CE5F28"/>
    <w:rsid w:val="00D049FA"/>
    <w:rsid w:val="00D069F9"/>
    <w:rsid w:val="00D12B59"/>
    <w:rsid w:val="00D20F58"/>
    <w:rsid w:val="00D25723"/>
    <w:rsid w:val="00D27544"/>
    <w:rsid w:val="00D458AF"/>
    <w:rsid w:val="00D47E61"/>
    <w:rsid w:val="00D53D13"/>
    <w:rsid w:val="00D55752"/>
    <w:rsid w:val="00D715F2"/>
    <w:rsid w:val="00D84517"/>
    <w:rsid w:val="00D948BF"/>
    <w:rsid w:val="00DA3154"/>
    <w:rsid w:val="00DD1DBA"/>
    <w:rsid w:val="00DD6665"/>
    <w:rsid w:val="00DE07B1"/>
    <w:rsid w:val="00DE68D8"/>
    <w:rsid w:val="00E12C17"/>
    <w:rsid w:val="00E15A02"/>
    <w:rsid w:val="00E160BF"/>
    <w:rsid w:val="00E1678B"/>
    <w:rsid w:val="00E36100"/>
    <w:rsid w:val="00E44F52"/>
    <w:rsid w:val="00E46594"/>
    <w:rsid w:val="00E50C4D"/>
    <w:rsid w:val="00E5186A"/>
    <w:rsid w:val="00E91099"/>
    <w:rsid w:val="00EB5A48"/>
    <w:rsid w:val="00ED688C"/>
    <w:rsid w:val="00EF555C"/>
    <w:rsid w:val="00EF56AA"/>
    <w:rsid w:val="00EF5A95"/>
    <w:rsid w:val="00F00852"/>
    <w:rsid w:val="00F10B80"/>
    <w:rsid w:val="00F26323"/>
    <w:rsid w:val="00F37607"/>
    <w:rsid w:val="00F5390A"/>
    <w:rsid w:val="00F575FA"/>
    <w:rsid w:val="00F66D86"/>
    <w:rsid w:val="00F83C16"/>
    <w:rsid w:val="00FB5301"/>
    <w:rsid w:val="00FC65E4"/>
    <w:rsid w:val="00FC68F0"/>
    <w:rsid w:val="00FD6AA4"/>
    <w:rsid w:val="00FD74BD"/>
    <w:rsid w:val="00FF1D8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C531"/>
  <w15:chartTrackingRefBased/>
  <w15:docId w15:val="{B63090E5-47C4-47B8-AA57-2B47CB25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F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F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F6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F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A5F6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A5F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5F6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5F6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5F6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F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F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F6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F6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A5F6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A5F6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5F6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5F6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5F6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A5F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F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F6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F6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A5F65"/>
    <w:pPr>
      <w:spacing w:before="160"/>
      <w:jc w:val="center"/>
    </w:pPr>
    <w:rPr>
      <w:i/>
      <w:iCs/>
      <w:color w:val="404040" w:themeColor="text1" w:themeTint="BF"/>
    </w:rPr>
  </w:style>
  <w:style w:type="character" w:customStyle="1" w:styleId="QuoteChar">
    <w:name w:val="Quote Char"/>
    <w:basedOn w:val="DefaultParagraphFont"/>
    <w:link w:val="Quote"/>
    <w:uiPriority w:val="29"/>
    <w:rsid w:val="00CA5F65"/>
    <w:rPr>
      <w:i/>
      <w:iCs/>
      <w:color w:val="404040" w:themeColor="text1" w:themeTint="BF"/>
    </w:rPr>
  </w:style>
  <w:style w:type="paragraph" w:styleId="ListParagraph">
    <w:name w:val="List Paragraph"/>
    <w:basedOn w:val="Normal"/>
    <w:uiPriority w:val="34"/>
    <w:qFormat/>
    <w:rsid w:val="00CA5F65"/>
    <w:pPr>
      <w:ind w:left="720"/>
      <w:contextualSpacing/>
    </w:pPr>
  </w:style>
  <w:style w:type="character" w:styleId="IntenseEmphasis">
    <w:name w:val="Intense Emphasis"/>
    <w:basedOn w:val="DefaultParagraphFont"/>
    <w:uiPriority w:val="21"/>
    <w:qFormat/>
    <w:rsid w:val="00CA5F65"/>
    <w:rPr>
      <w:i/>
      <w:iCs/>
      <w:color w:val="0F4761" w:themeColor="accent1" w:themeShade="BF"/>
    </w:rPr>
  </w:style>
  <w:style w:type="paragraph" w:styleId="IntenseQuote">
    <w:name w:val="Intense Quote"/>
    <w:basedOn w:val="Normal"/>
    <w:next w:val="Normal"/>
    <w:link w:val="IntenseQuoteChar"/>
    <w:uiPriority w:val="30"/>
    <w:qFormat/>
    <w:rsid w:val="00CA5F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F65"/>
    <w:rPr>
      <w:i/>
      <w:iCs/>
      <w:color w:val="0F4761" w:themeColor="accent1" w:themeShade="BF"/>
    </w:rPr>
  </w:style>
  <w:style w:type="character" w:styleId="IntenseReference">
    <w:name w:val="Intense Reference"/>
    <w:basedOn w:val="DefaultParagraphFont"/>
    <w:uiPriority w:val="32"/>
    <w:qFormat/>
    <w:rsid w:val="00CA5F65"/>
    <w:rPr>
      <w:b/>
      <w:bCs/>
      <w:smallCaps/>
      <w:color w:val="0F4761" w:themeColor="accent1" w:themeShade="BF"/>
      <w:spacing w:val="5"/>
    </w:rPr>
  </w:style>
  <w:style w:type="paragraph" w:styleId="Revision">
    <w:name w:val="Revision"/>
    <w:hidden/>
    <w:uiPriority w:val="99"/>
    <w:semiHidden/>
    <w:rsid w:val="00523D9A"/>
    <w:pPr>
      <w:spacing w:after="0" w:line="240" w:lineRule="auto"/>
    </w:pPr>
  </w:style>
  <w:style w:type="character" w:styleId="Hyperlink">
    <w:name w:val="Hyperlink"/>
    <w:basedOn w:val="DefaultParagraphFont"/>
    <w:uiPriority w:val="99"/>
    <w:unhideWhenUsed/>
    <w:rsid w:val="00D53D13"/>
    <w:rPr>
      <w:color w:val="467886" w:themeColor="hyperlink"/>
      <w:u w:val="single"/>
    </w:rPr>
  </w:style>
  <w:style w:type="character" w:styleId="UnresolvedMention">
    <w:name w:val="Unresolved Mention"/>
    <w:basedOn w:val="DefaultParagraphFont"/>
    <w:uiPriority w:val="99"/>
    <w:semiHidden/>
    <w:unhideWhenUsed/>
    <w:rsid w:val="00E44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benewswire.com/Tracker?data=aU25jKqlDtamK6fS95JrlZnvnDahU-0FIrIgpdkXhxSzq-YVTXjKjYqyhrU3NKGjLQBYb9b5cS1eRQoTGOWIih5wfldnHfGml0zwzO0SvLk=" TargetMode="External"/><Relationship Id="rId3" Type="http://schemas.openxmlformats.org/officeDocument/2006/relationships/webSettings" Target="webSettings.xml"/><Relationship Id="rId7" Type="http://schemas.openxmlformats.org/officeDocument/2006/relationships/hyperlink" Target="https://www.boerse-frankfurt.de/equity/betterlife-pharma-inc-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tcmarkets.com/stock/BETRF/overview" TargetMode="External"/><Relationship Id="rId11" Type="http://schemas.openxmlformats.org/officeDocument/2006/relationships/theme" Target="theme/theme1.xml"/><Relationship Id="rId5" Type="http://schemas.openxmlformats.org/officeDocument/2006/relationships/hyperlink" Target="https://thecse.com/listings/betterlife-pharma-inc/"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Ahmad.Doroudian@blife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Beaudry</dc:creator>
  <cp:keywords/>
  <dc:description/>
  <cp:lastModifiedBy>Moira Ong</cp:lastModifiedBy>
  <cp:revision>8</cp:revision>
  <cp:lastPrinted>2025-03-28T11:11:00Z</cp:lastPrinted>
  <dcterms:created xsi:type="dcterms:W3CDTF">2026-05-11T20:28:00Z</dcterms:created>
  <dcterms:modified xsi:type="dcterms:W3CDTF">2026-06-14T18:46:00Z</dcterms:modified>
</cp:coreProperties>
</file>